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一、招标标的物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 w:hAnsi="仿宋" w:eastAsia="仿宋"/>
          <w:sz w:val="32"/>
          <w:szCs w:val="40"/>
          <w:lang w:val="en-US" w:eastAsia="zh-CN"/>
        </w:rPr>
      </w:pPr>
      <w:r>
        <w:rPr>
          <w:rFonts w:hint="eastAsia" w:ascii="仿宋" w:hAnsi="仿宋" w:eastAsia="仿宋"/>
          <w:sz w:val="32"/>
          <w:szCs w:val="40"/>
        </w:rPr>
        <w:t>详见附件</w:t>
      </w:r>
      <w:r>
        <w:rPr>
          <w:rFonts w:hint="eastAsia" w:ascii="仿宋" w:hAnsi="仿宋" w:eastAsia="仿宋"/>
          <w:sz w:val="32"/>
          <w:szCs w:val="40"/>
          <w:lang w:val="en-US" w:eastAsia="zh-CN"/>
        </w:rPr>
        <w:t>1：分条机偏光板边缘缺陷自动光学检测AOI技术需求书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二、投标人资格要求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三、其他事项要求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 w:hAnsi="仿宋" w:eastAsia="仿宋"/>
          <w:sz w:val="32"/>
          <w:szCs w:val="40"/>
        </w:rPr>
      </w:pPr>
      <w:r>
        <w:rPr>
          <w:rFonts w:hint="eastAsia" w:ascii="仿宋" w:hAnsi="仿宋" w:eastAsia="仿宋"/>
          <w:sz w:val="32"/>
          <w:szCs w:val="40"/>
        </w:rPr>
        <w:t>投标方报价均为人民币含税价。</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textAlignment w:val="auto"/>
        <w:rPr>
          <w:rFonts w:hint="eastAsia" w:ascii="仿宋" w:hAnsi="仿宋" w:eastAsia="仿宋"/>
          <w:sz w:val="32"/>
          <w:szCs w:val="40"/>
        </w:rPr>
      </w:pPr>
      <w:bookmarkStart w:id="0" w:name="_Toc8654654"/>
      <w:r>
        <w:rPr>
          <w:rFonts w:hint="eastAsia" w:ascii="仿宋" w:hAnsi="仿宋" w:eastAsia="仿宋"/>
          <w:sz w:val="32"/>
          <w:szCs w:val="40"/>
        </w:rPr>
        <w:t>付款、结算方式</w:t>
      </w:r>
    </w:p>
    <w:p>
      <w:pPr>
        <w:keepNext w:val="0"/>
        <w:keepLines w:val="0"/>
        <w:pageBreakBefore w:val="0"/>
        <w:widowControl w:val="0"/>
        <w:numPr>
          <w:numId w:val="0"/>
        </w:numPr>
        <w:kinsoku/>
        <w:wordWrap/>
        <w:overflowPunct/>
        <w:topLinePunct w:val="0"/>
        <w:autoSpaceDE/>
        <w:autoSpaceDN/>
        <w:bidi w:val="0"/>
        <w:spacing w:line="560" w:lineRule="exact"/>
        <w:jc w:val="both"/>
        <w:textAlignment w:val="auto"/>
        <w:rPr>
          <w:rFonts w:hint="eastAsia" w:ascii="仿宋" w:hAnsi="仿宋" w:eastAsia="仿宋"/>
          <w:sz w:val="32"/>
          <w:szCs w:val="40"/>
        </w:rPr>
      </w:pPr>
    </w:p>
    <w:p>
      <w:pPr>
        <w:keepNext w:val="0"/>
        <w:keepLines w:val="0"/>
        <w:pageBreakBefore w:val="0"/>
        <w:widowControl w:val="0"/>
        <w:numPr>
          <w:numId w:val="0"/>
        </w:numPr>
        <w:kinsoku/>
        <w:wordWrap/>
        <w:overflowPunct/>
        <w:topLinePunct w:val="0"/>
        <w:autoSpaceDE/>
        <w:autoSpaceDN/>
        <w:bidi w:val="0"/>
        <w:spacing w:line="560" w:lineRule="exact"/>
        <w:jc w:val="both"/>
        <w:textAlignment w:val="auto"/>
        <w:rPr>
          <w:rFonts w:hint="eastAsia" w:ascii="仿宋" w:hAnsi="仿宋" w:eastAsia="仿宋"/>
          <w:sz w:val="32"/>
          <w:szCs w:val="40"/>
        </w:rPr>
      </w:pP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8638"/>
      <w:bookmarkStart w:id="2" w:name="_Toc236803065"/>
      <w:bookmarkStart w:id="3" w:name="_Toc452479487"/>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452479490"/>
            <w:bookmarkStart w:id="6" w:name="_Toc350862681"/>
            <w:bookmarkStart w:id="7" w:name="_Toc322532861"/>
            <w:bookmarkStart w:id="8" w:name="_Toc227044138"/>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仿宋" w:hAnsi="仿宋" w:eastAsia="仿宋" w:cs="仿宋"/>
          <w:b/>
          <w:bCs w:val="0"/>
          <w:sz w:val="44"/>
          <w:szCs w:val="44"/>
        </w:rPr>
        <w:t>7号线分条机偏光板边缘缺陷自动光学检测AOI</w:t>
      </w:r>
      <w:r>
        <w:rPr>
          <w:rFonts w:hint="eastAsia" w:ascii="仿宋" w:hAnsi="仿宋" w:eastAsia="仿宋"/>
          <w:b/>
          <w:color w:val="000000"/>
          <w:sz w:val="44"/>
          <w:szCs w:val="44"/>
        </w:rPr>
        <w:t>招标</w:t>
      </w:r>
      <w:r>
        <w:rPr>
          <w:rFonts w:hint="eastAsia" w:ascii="仿宋" w:hAnsi="仿宋" w:eastAsia="仿宋"/>
          <w:b/>
          <w:color w:val="000000"/>
          <w:sz w:val="44"/>
          <w:szCs w:val="44"/>
          <w:lang w:val="en-US" w:eastAsia="zh-CN"/>
        </w:rPr>
        <w:t>项目</w:t>
      </w: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公司相关资质资料</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bookmarkStart w:id="15" w:name="_GoBack"/>
      <w:bookmarkEnd w:id="15"/>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snapToGrid w:val="0"/>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cs="仿宋"/>
          <w:sz w:val="32"/>
          <w:szCs w:val="32"/>
        </w:rPr>
        <w:t>分条机偏光板边缘缺陷自动光学检测AOI技术需求书</w:t>
      </w:r>
      <w:r>
        <w:rPr>
          <w:rFonts w:hint="eastAsia" w:ascii="仿宋" w:hAnsi="仿宋" w:eastAsia="仿宋"/>
          <w:sz w:val="32"/>
          <w:szCs w:val="32"/>
          <w:lang w:eastAsia="zh-CN"/>
        </w:rPr>
        <w:t>》</w:t>
      </w:r>
    </w:p>
    <w:p>
      <w:pPr>
        <w:snapToGrid w:val="0"/>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请注明交期、付款方式、发票税率等信息。</w:t>
      </w:r>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ind w:firstLine="640" w:firstLineChars="200"/>
        <w:textAlignment w:val="auto"/>
        <w:rPr>
          <w:rFonts w:hint="default" w:ascii="仿宋" w:hAnsi="仿宋" w:eastAsia="仿宋"/>
          <w:sz w:val="32"/>
          <w:szCs w:val="32"/>
          <w:lang w:val="en-US" w:eastAsia="zh-CN"/>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B91A1"/>
    <w:multiLevelType w:val="singleLevel"/>
    <w:tmpl w:val="18AB91A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MmI0MWRjZTU1ZWI1MDBmNzNiMTQ1NjRhMDRjMTAifQ=="/>
  </w:docVars>
  <w:rsids>
    <w:rsidRoot w:val="411820CD"/>
    <w:rsid w:val="00150EAD"/>
    <w:rsid w:val="04581CB1"/>
    <w:rsid w:val="07BE1E2B"/>
    <w:rsid w:val="08624EAC"/>
    <w:rsid w:val="09A11A04"/>
    <w:rsid w:val="09BC4A90"/>
    <w:rsid w:val="09E146D9"/>
    <w:rsid w:val="0A1246B0"/>
    <w:rsid w:val="0B2B5A29"/>
    <w:rsid w:val="0BE1258C"/>
    <w:rsid w:val="0C874EE1"/>
    <w:rsid w:val="0CA737D5"/>
    <w:rsid w:val="0E456E02"/>
    <w:rsid w:val="0F827474"/>
    <w:rsid w:val="112847B9"/>
    <w:rsid w:val="116A4550"/>
    <w:rsid w:val="1329247C"/>
    <w:rsid w:val="14187916"/>
    <w:rsid w:val="149C5B4B"/>
    <w:rsid w:val="150572EB"/>
    <w:rsid w:val="15D05B4B"/>
    <w:rsid w:val="15DB629E"/>
    <w:rsid w:val="163F682C"/>
    <w:rsid w:val="17870950"/>
    <w:rsid w:val="18D45952"/>
    <w:rsid w:val="1B0F0EC3"/>
    <w:rsid w:val="1B3B52CA"/>
    <w:rsid w:val="1B4D19EC"/>
    <w:rsid w:val="1E036392"/>
    <w:rsid w:val="1FA15E62"/>
    <w:rsid w:val="209634ED"/>
    <w:rsid w:val="21D00C81"/>
    <w:rsid w:val="22910410"/>
    <w:rsid w:val="22DA02A1"/>
    <w:rsid w:val="2406098A"/>
    <w:rsid w:val="24F0752E"/>
    <w:rsid w:val="25787665"/>
    <w:rsid w:val="25CA7E29"/>
    <w:rsid w:val="26B4291F"/>
    <w:rsid w:val="27532138"/>
    <w:rsid w:val="27F5667F"/>
    <w:rsid w:val="28F90ABD"/>
    <w:rsid w:val="296161C7"/>
    <w:rsid w:val="2B4029D3"/>
    <w:rsid w:val="2BD61589"/>
    <w:rsid w:val="2BE04493"/>
    <w:rsid w:val="2D460049"/>
    <w:rsid w:val="2E8157DC"/>
    <w:rsid w:val="30B33C47"/>
    <w:rsid w:val="31B5579D"/>
    <w:rsid w:val="32B85545"/>
    <w:rsid w:val="34CC3529"/>
    <w:rsid w:val="354457B6"/>
    <w:rsid w:val="36201D7F"/>
    <w:rsid w:val="371F3178"/>
    <w:rsid w:val="376637C1"/>
    <w:rsid w:val="3A5169AB"/>
    <w:rsid w:val="3A86417A"/>
    <w:rsid w:val="3B077069"/>
    <w:rsid w:val="3B9528C7"/>
    <w:rsid w:val="3C700C3E"/>
    <w:rsid w:val="3CF01B3F"/>
    <w:rsid w:val="3D08613D"/>
    <w:rsid w:val="3EE31B9B"/>
    <w:rsid w:val="3F9B4224"/>
    <w:rsid w:val="3FB452E6"/>
    <w:rsid w:val="4044666A"/>
    <w:rsid w:val="40DF6392"/>
    <w:rsid w:val="40F24318"/>
    <w:rsid w:val="411820CD"/>
    <w:rsid w:val="43221353"/>
    <w:rsid w:val="45A57BAB"/>
    <w:rsid w:val="473A4A72"/>
    <w:rsid w:val="47DC1057"/>
    <w:rsid w:val="4B1E6D69"/>
    <w:rsid w:val="4BCF3BD3"/>
    <w:rsid w:val="4CCF375F"/>
    <w:rsid w:val="503E4E84"/>
    <w:rsid w:val="51954F77"/>
    <w:rsid w:val="51FD2B1C"/>
    <w:rsid w:val="531225F7"/>
    <w:rsid w:val="55401B95"/>
    <w:rsid w:val="57762C01"/>
    <w:rsid w:val="57EC1669"/>
    <w:rsid w:val="58A40196"/>
    <w:rsid w:val="5AF21844"/>
    <w:rsid w:val="5B294982"/>
    <w:rsid w:val="5B9462A0"/>
    <w:rsid w:val="5C515F3F"/>
    <w:rsid w:val="5D777C27"/>
    <w:rsid w:val="5E671A49"/>
    <w:rsid w:val="604007A4"/>
    <w:rsid w:val="613D0085"/>
    <w:rsid w:val="61DE2022"/>
    <w:rsid w:val="621E68C3"/>
    <w:rsid w:val="633E4B44"/>
    <w:rsid w:val="63690012"/>
    <w:rsid w:val="64E5271F"/>
    <w:rsid w:val="65420B1A"/>
    <w:rsid w:val="65913850"/>
    <w:rsid w:val="65AD68DC"/>
    <w:rsid w:val="65F86B6E"/>
    <w:rsid w:val="664050F6"/>
    <w:rsid w:val="664D7777"/>
    <w:rsid w:val="676B708E"/>
    <w:rsid w:val="678B44FF"/>
    <w:rsid w:val="6A3B1C0F"/>
    <w:rsid w:val="6A933BC6"/>
    <w:rsid w:val="6B824366"/>
    <w:rsid w:val="6CAD71C1"/>
    <w:rsid w:val="6CB8502F"/>
    <w:rsid w:val="6E1374F8"/>
    <w:rsid w:val="704716DB"/>
    <w:rsid w:val="71235CA4"/>
    <w:rsid w:val="72225F5B"/>
    <w:rsid w:val="722F0678"/>
    <w:rsid w:val="7417500B"/>
    <w:rsid w:val="76BA535D"/>
    <w:rsid w:val="76CC0B8C"/>
    <w:rsid w:val="796C3F60"/>
    <w:rsid w:val="7B130B37"/>
    <w:rsid w:val="7C4A4A2C"/>
    <w:rsid w:val="7D9B4E14"/>
    <w:rsid w:val="7DF12C86"/>
    <w:rsid w:val="7EC34622"/>
    <w:rsid w:val="7EFB3DBC"/>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1566</Words>
  <Characters>1600</Characters>
  <Lines>0</Lines>
  <Paragraphs>0</Paragraphs>
  <TotalTime>2</TotalTime>
  <ScaleCrop>false</ScaleCrop>
  <LinksUpToDate>false</LinksUpToDate>
  <CharactersWithSpaces>2272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Administrator</cp:lastModifiedBy>
  <cp:lastPrinted>2021-01-07T08:40:00Z</cp:lastPrinted>
  <dcterms:modified xsi:type="dcterms:W3CDTF">2022-05-20T07:25:06Z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8E41167D08F144B7A5F121ED202E88A4</vt:lpwstr>
  </property>
</Properties>
</file>