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79140C2">
      <w:pPr>
        <w:pStyle w:val="7"/>
        <w:widowControl/>
        <w:spacing w:beforeAutospacing="0" w:afterAutospacing="0" w:line="312" w:lineRule="auto"/>
        <w:jc w:val="center"/>
        <w:rPr>
          <w:rFonts w:ascii="仿宋" w:hAnsi="仿宋" w:eastAsia="仿宋"/>
          <w:b/>
          <w:bCs/>
          <w:sz w:val="36"/>
          <w:szCs w:val="36"/>
        </w:rPr>
      </w:pPr>
      <w:r>
        <w:rPr>
          <w:rFonts w:hint="eastAsia" w:ascii="仿宋" w:hAnsi="仿宋" w:eastAsia="仿宋"/>
          <w:b/>
          <w:bCs/>
          <w:sz w:val="36"/>
          <w:szCs w:val="36"/>
        </w:rPr>
        <w:t>包材清洗的服务要求</w:t>
      </w:r>
    </w:p>
    <w:p w14:paraId="55B6C368">
      <w:pPr>
        <w:spacing w:before="156" w:beforeLines="50" w:line="312" w:lineRule="auto"/>
        <w:rPr>
          <w:rFonts w:ascii="仿宋" w:hAnsi="仿宋" w:eastAsia="仿宋" w:cs="仿宋"/>
          <w:b/>
          <w:sz w:val="24"/>
        </w:rPr>
      </w:pPr>
      <w:r>
        <w:rPr>
          <w:rFonts w:hint="eastAsia" w:ascii="仿宋" w:hAnsi="仿宋" w:eastAsia="仿宋" w:cs="仿宋"/>
          <w:b/>
          <w:sz w:val="24"/>
        </w:rPr>
        <w:t>一、合作期限</w:t>
      </w:r>
    </w:p>
    <w:p w14:paraId="49437D77">
      <w:pPr>
        <w:spacing w:before="156" w:beforeLines="50" w:line="312" w:lineRule="auto"/>
        <w:rPr>
          <w:rFonts w:hint="eastAsia" w:ascii="仿宋" w:hAnsi="仿宋" w:eastAsia="仿宋" w:cs="仿宋"/>
          <w:sz w:val="24"/>
          <w:highlight w:val="none"/>
        </w:rPr>
      </w:pPr>
      <w:r>
        <w:rPr>
          <w:rFonts w:hint="eastAsia" w:ascii="仿宋" w:hAnsi="仿宋" w:eastAsia="仿宋" w:cs="仿宋"/>
          <w:sz w:val="24"/>
        </w:rPr>
        <w:t>本项目合作期限为</w:t>
      </w:r>
      <w:r>
        <w:rPr>
          <w:rFonts w:hint="eastAsia" w:ascii="仿宋" w:hAnsi="仿宋" w:eastAsia="仿宋" w:cs="仿宋"/>
          <w:sz w:val="24"/>
          <w:highlight w:val="none"/>
        </w:rPr>
        <w:t>202</w:t>
      </w:r>
      <w:r>
        <w:rPr>
          <w:rFonts w:hint="eastAsia" w:ascii="仿宋" w:hAnsi="仿宋" w:eastAsia="仿宋" w:cs="仿宋"/>
          <w:sz w:val="24"/>
          <w:highlight w:val="none"/>
          <w:lang w:val="en-US" w:eastAsia="zh-CN"/>
        </w:rPr>
        <w:t>6</w:t>
      </w:r>
      <w:r>
        <w:rPr>
          <w:rFonts w:hint="eastAsia" w:ascii="仿宋" w:hAnsi="仿宋" w:eastAsia="仿宋" w:cs="仿宋"/>
          <w:sz w:val="24"/>
          <w:highlight w:val="none"/>
        </w:rPr>
        <w:t>年</w:t>
      </w:r>
      <w:r>
        <w:rPr>
          <w:rFonts w:ascii="仿宋" w:hAnsi="仿宋" w:eastAsia="仿宋" w:cs="仿宋"/>
          <w:sz w:val="24"/>
          <w:highlight w:val="none"/>
        </w:rPr>
        <w:t>4</w:t>
      </w:r>
      <w:r>
        <w:rPr>
          <w:rFonts w:hint="eastAsia" w:ascii="仿宋" w:hAnsi="仿宋" w:eastAsia="仿宋" w:cs="仿宋"/>
          <w:sz w:val="24"/>
          <w:highlight w:val="none"/>
        </w:rPr>
        <w:t>月1日至202</w:t>
      </w:r>
      <w:r>
        <w:rPr>
          <w:rFonts w:hint="eastAsia" w:ascii="仿宋" w:hAnsi="仿宋" w:eastAsia="仿宋" w:cs="仿宋"/>
          <w:sz w:val="24"/>
          <w:highlight w:val="none"/>
          <w:lang w:val="en-US" w:eastAsia="zh-CN"/>
        </w:rPr>
        <w:t>8</w:t>
      </w:r>
      <w:r>
        <w:rPr>
          <w:rFonts w:hint="eastAsia" w:ascii="仿宋" w:hAnsi="仿宋" w:eastAsia="仿宋" w:cs="仿宋"/>
          <w:sz w:val="24"/>
          <w:highlight w:val="none"/>
        </w:rPr>
        <w:t>年3月31日</w:t>
      </w:r>
      <w:r>
        <w:rPr>
          <w:rFonts w:hint="eastAsia" w:ascii="仿宋" w:hAnsi="仿宋" w:eastAsia="仿宋" w:cs="仿宋"/>
          <w:sz w:val="24"/>
          <w:highlight w:val="none"/>
          <w:lang w:eastAsia="zh-CN"/>
        </w:rPr>
        <w:t>，</w:t>
      </w:r>
      <w:r>
        <w:rPr>
          <w:rFonts w:hint="eastAsia" w:ascii="仿宋" w:hAnsi="仿宋" w:eastAsia="仿宋" w:cs="仿宋"/>
          <w:sz w:val="24"/>
          <w:highlight w:val="none"/>
          <w:lang w:val="en-US" w:eastAsia="zh-CN"/>
        </w:rPr>
        <w:t>共2年</w:t>
      </w:r>
      <w:r>
        <w:rPr>
          <w:rFonts w:hint="eastAsia" w:ascii="仿宋" w:hAnsi="仿宋" w:eastAsia="仿宋" w:cs="仿宋"/>
          <w:sz w:val="24"/>
          <w:highlight w:val="none"/>
        </w:rPr>
        <w:t>。</w:t>
      </w:r>
    </w:p>
    <w:p w14:paraId="1FE2A41E">
      <w:pPr>
        <w:spacing w:before="156" w:beforeLines="50" w:line="312" w:lineRule="auto"/>
        <w:rPr>
          <w:rFonts w:hint="eastAsia" w:ascii="仿宋" w:hAnsi="仿宋" w:eastAsia="仿宋" w:cs="仿宋"/>
          <w:sz w:val="24"/>
        </w:rPr>
      </w:pPr>
      <w:r>
        <w:rPr>
          <w:rFonts w:hint="eastAsia" w:ascii="仿宋" w:hAnsi="仿宋" w:eastAsia="仿宋" w:cs="仿宋"/>
          <w:sz w:val="24"/>
          <w:highlight w:val="none"/>
          <w:lang w:val="en-US" w:eastAsia="zh-CN"/>
        </w:rPr>
        <w:t>合同为一年一签，第一年合作结束时，将依据厂内相关部门对中标供应商的年度综合评价情况决定是否续签第二年。</w:t>
      </w:r>
    </w:p>
    <w:p w14:paraId="55C95C9E">
      <w:pPr>
        <w:spacing w:before="156" w:beforeLines="50" w:line="312" w:lineRule="auto"/>
        <w:rPr>
          <w:rFonts w:ascii="仿宋" w:hAnsi="仿宋" w:eastAsia="仿宋" w:cs="仿宋"/>
          <w:b/>
          <w:sz w:val="24"/>
        </w:rPr>
      </w:pPr>
      <w:r>
        <w:rPr>
          <w:rFonts w:hint="eastAsia" w:ascii="仿宋" w:hAnsi="仿宋" w:eastAsia="仿宋" w:cs="仿宋"/>
          <w:b/>
          <w:sz w:val="24"/>
        </w:rPr>
        <w:t>二、合作内容</w:t>
      </w:r>
    </w:p>
    <w:p w14:paraId="467F0EFD">
      <w:pPr>
        <w:spacing w:before="156" w:beforeLines="50" w:line="312" w:lineRule="auto"/>
        <w:rPr>
          <w:rFonts w:ascii="仿宋" w:hAnsi="仿宋" w:eastAsia="仿宋" w:cs="仿宋"/>
          <w:b/>
          <w:sz w:val="24"/>
        </w:rPr>
      </w:pPr>
      <w:r>
        <w:rPr>
          <w:rFonts w:hint="eastAsia" w:ascii="仿宋" w:hAnsi="仿宋" w:eastAsia="仿宋" w:cs="仿宋"/>
          <w:sz w:val="24"/>
        </w:rPr>
        <w:t>投标方需为本公司提供包括但不限于BOX盒、卡板、托盘等包材的清洗、配送、存储及其他相关服务。具体配送地址如下：</w:t>
      </w:r>
      <w:r>
        <w:rPr>
          <w:rFonts w:ascii="仿宋" w:hAnsi="仿宋" w:eastAsia="仿宋" w:cs="仿宋"/>
          <w:b/>
          <w:sz w:val="24"/>
        </w:rPr>
        <w:t xml:space="preserve"> </w:t>
      </w:r>
    </w:p>
    <w:p w14:paraId="555FE4C8">
      <w:pPr>
        <w:spacing w:line="312" w:lineRule="auto"/>
        <w:rPr>
          <w:rFonts w:ascii="仿宋" w:hAnsi="仿宋" w:eastAsia="仿宋" w:cs="仿宋"/>
          <w:sz w:val="24"/>
        </w:rPr>
      </w:pPr>
      <w:r>
        <w:rPr>
          <w:rFonts w:hint="eastAsia" w:ascii="仿宋" w:hAnsi="仿宋" w:eastAsia="仿宋" w:cs="仿宋"/>
          <w:sz w:val="24"/>
        </w:rPr>
        <w:t>深圳：深圳市坪山新区青松西路8号（深圳市盛波光电科技有限公司）</w:t>
      </w:r>
    </w:p>
    <w:p w14:paraId="4A95AF9D">
      <w:pPr>
        <w:spacing w:line="312" w:lineRule="auto"/>
        <w:jc w:val="left"/>
        <w:rPr>
          <w:rFonts w:hint="eastAsia" w:ascii="仿宋" w:hAnsi="仿宋" w:eastAsia="仿宋" w:cs="仿宋"/>
          <w:b/>
          <w:sz w:val="24"/>
        </w:rPr>
      </w:pPr>
      <w:r>
        <w:rPr>
          <w:rFonts w:hint="eastAsia" w:ascii="仿宋" w:hAnsi="仿宋" w:eastAsia="仿宋" w:cs="仿宋"/>
          <w:sz w:val="24"/>
        </w:rPr>
        <w:t>咸阳：咸阳市秦都区高科一路1号 (咸阳彩虹光电科技有限公司)</w:t>
      </w:r>
    </w:p>
    <w:p w14:paraId="351A8879">
      <w:pPr>
        <w:spacing w:before="156" w:beforeLines="50" w:line="312" w:lineRule="auto"/>
        <w:jc w:val="left"/>
        <w:rPr>
          <w:rFonts w:ascii="仿宋" w:hAnsi="仿宋" w:eastAsia="仿宋" w:cs="仿宋"/>
          <w:b/>
          <w:sz w:val="24"/>
        </w:rPr>
      </w:pPr>
      <w:r>
        <w:rPr>
          <w:rFonts w:hint="eastAsia" w:ascii="仿宋" w:hAnsi="仿宋" w:eastAsia="仿宋" w:cs="仿宋"/>
          <w:b/>
          <w:sz w:val="24"/>
        </w:rPr>
        <w:t>三、服务要求：</w:t>
      </w:r>
    </w:p>
    <w:p w14:paraId="1CD399CD">
      <w:pPr>
        <w:spacing w:before="50" w:line="312" w:lineRule="auto"/>
        <w:jc w:val="left"/>
        <w:rPr>
          <w:rFonts w:ascii="仿宋" w:hAnsi="仿宋" w:eastAsia="仿宋" w:cs="仿宋"/>
          <w:b/>
          <w:sz w:val="24"/>
        </w:rPr>
      </w:pPr>
      <w:r>
        <w:rPr>
          <w:rFonts w:hint="eastAsia" w:ascii="仿宋" w:hAnsi="仿宋" w:eastAsia="仿宋" w:cs="仿宋"/>
          <w:b/>
          <w:sz w:val="24"/>
        </w:rPr>
        <w:t>3</w:t>
      </w:r>
      <w:r>
        <w:rPr>
          <w:rFonts w:ascii="仿宋" w:hAnsi="仿宋" w:eastAsia="仿宋" w:cs="仿宋"/>
          <w:b/>
          <w:sz w:val="24"/>
        </w:rPr>
        <w:t>.1</w:t>
      </w:r>
      <w:r>
        <w:rPr>
          <w:rFonts w:hint="eastAsia" w:ascii="仿宋" w:hAnsi="仿宋" w:eastAsia="仿宋" w:cs="仿宋"/>
          <w:b/>
          <w:sz w:val="24"/>
        </w:rPr>
        <w:t>、</w:t>
      </w:r>
      <w:r>
        <w:rPr>
          <w:rFonts w:hint="eastAsia" w:ascii="仿宋" w:hAnsi="仿宋" w:eastAsia="仿宋" w:cs="仿宋"/>
          <w:b/>
          <w:bCs/>
          <w:sz w:val="24"/>
        </w:rPr>
        <w:t>场地及配套情况</w:t>
      </w:r>
    </w:p>
    <w:p w14:paraId="4DECECC3">
      <w:pPr>
        <w:spacing w:line="312" w:lineRule="auto"/>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1.1、建筑规范：厂房应符合现行《建筑设计防火规范》，地面需具备整体性好、平整无缝隙、耐磨耐腐蚀、不易积静电且易于清洁的特点。</w:t>
      </w:r>
    </w:p>
    <w:p w14:paraId="13065D99">
      <w:pPr>
        <w:spacing w:line="312" w:lineRule="auto"/>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1.2、功能分区：干湿区域需分开设置，湿区面积不少于35平米。</w:t>
      </w:r>
    </w:p>
    <w:p w14:paraId="55AAE646">
      <w:pPr>
        <w:spacing w:line="312" w:lineRule="auto"/>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1.3、交通条件：周边道路至少能通行9.6米长车型，并保证至少可停放3辆车辆的空间。</w:t>
      </w:r>
    </w:p>
    <w:p w14:paraId="7D3FF24B">
      <w:pPr>
        <w:spacing w:line="312" w:lineRule="auto"/>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1.</w:t>
      </w:r>
      <w:r>
        <w:rPr>
          <w:rFonts w:ascii="仿宋" w:hAnsi="仿宋" w:eastAsia="仿宋" w:cs="仿宋"/>
          <w:sz w:val="24"/>
        </w:rPr>
        <w:t>4</w:t>
      </w:r>
      <w:r>
        <w:rPr>
          <w:rFonts w:hint="eastAsia" w:ascii="仿宋" w:hAnsi="仿宋" w:eastAsia="仿宋" w:cs="仿宋"/>
          <w:sz w:val="24"/>
        </w:rPr>
        <w:t>、安全监控：厂房内须安装高清视频监控系统，确保我司能够随时查看和调阅监控资料。</w:t>
      </w:r>
    </w:p>
    <w:p w14:paraId="09DF7466">
      <w:pPr>
        <w:spacing w:line="312" w:lineRule="auto"/>
        <w:jc w:val="left"/>
        <w:rPr>
          <w:rFonts w:ascii="仿宋" w:hAnsi="仿宋" w:eastAsia="仿宋" w:cs="仿宋"/>
          <w:sz w:val="24"/>
        </w:rPr>
      </w:pPr>
      <w:r>
        <w:rPr>
          <w:rFonts w:ascii="仿宋" w:hAnsi="仿宋" w:eastAsia="仿宋" w:cs="仿宋"/>
          <w:sz w:val="24"/>
        </w:rPr>
        <w:t>3.</w:t>
      </w:r>
      <w:r>
        <w:rPr>
          <w:rFonts w:hint="eastAsia" w:ascii="仿宋" w:hAnsi="仿宋" w:eastAsia="仿宋" w:cs="仿宋"/>
          <w:sz w:val="24"/>
        </w:rPr>
        <w:t>1.5、存储面积：深圳地区最低要求3000平米（常规2000+临时周转1000），咸阳地区最低要求500平米。</w:t>
      </w:r>
    </w:p>
    <w:p w14:paraId="48ACC9F0">
      <w:pPr>
        <w:pStyle w:val="12"/>
        <w:spacing w:line="312" w:lineRule="auto"/>
        <w:ind w:firstLine="0" w:firstLineChars="0"/>
        <w:jc w:val="left"/>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.1.6</w:t>
      </w:r>
      <w:r>
        <w:rPr>
          <w:rFonts w:hint="eastAsia" w:ascii="仿宋" w:hAnsi="仿宋" w:eastAsia="仿宋" w:cs="仿宋"/>
          <w:sz w:val="24"/>
        </w:rPr>
        <w:t>、保险要求：投标方需为我司包材购买财产一切险，每次事故赔偿金额不低于300万元，年度累计赔偿额不低于1000万元。</w:t>
      </w:r>
    </w:p>
    <w:p w14:paraId="4A603AFD">
      <w:pPr>
        <w:pStyle w:val="12"/>
        <w:spacing w:before="156" w:beforeLines="50" w:line="312" w:lineRule="auto"/>
        <w:ind w:firstLine="0" w:firstLineChars="0"/>
        <w:jc w:val="left"/>
        <w:rPr>
          <w:rFonts w:hint="eastAsia" w:ascii="仿宋" w:hAnsi="仿宋" w:eastAsia="仿宋" w:cs="仿宋"/>
          <w:sz w:val="24"/>
        </w:rPr>
      </w:pPr>
      <w:r>
        <w:rPr>
          <w:rFonts w:hint="eastAsia" w:ascii="仿宋" w:hAnsi="仿宋" w:eastAsia="仿宋" w:cs="仿宋"/>
          <w:b/>
          <w:bCs/>
          <w:sz w:val="24"/>
        </w:rPr>
        <w:t>3</w:t>
      </w:r>
      <w:r>
        <w:rPr>
          <w:rFonts w:ascii="仿宋" w:hAnsi="仿宋" w:eastAsia="仿宋" w:cs="仿宋"/>
          <w:b/>
          <w:bCs/>
          <w:sz w:val="24"/>
        </w:rPr>
        <w:t>.2</w:t>
      </w:r>
      <w:r>
        <w:rPr>
          <w:rFonts w:hint="eastAsia" w:ascii="仿宋" w:hAnsi="仿宋" w:eastAsia="仿宋" w:cs="仿宋"/>
          <w:b/>
          <w:bCs/>
          <w:sz w:val="24"/>
        </w:rPr>
        <w:t>、收发货、单据要求</w:t>
      </w:r>
      <w:r>
        <w:rPr>
          <w:rFonts w:hint="eastAsia" w:ascii="仿宋" w:hAnsi="仿宋" w:eastAsia="仿宋" w:cs="仿宋"/>
          <w:b/>
          <w:bCs/>
          <w:sz w:val="24"/>
        </w:rPr>
        <w:br w:type="textWrapping"/>
      </w:r>
      <w:r>
        <w:rPr>
          <w:rFonts w:ascii="仿宋" w:hAnsi="仿宋" w:eastAsia="仿宋" w:cs="仿宋"/>
          <w:sz w:val="24"/>
        </w:rPr>
        <w:t>3.</w:t>
      </w:r>
      <w:r>
        <w:rPr>
          <w:rFonts w:hint="eastAsia" w:ascii="仿宋" w:hAnsi="仿宋" w:eastAsia="仿宋" w:cs="仿宋"/>
          <w:sz w:val="24"/>
        </w:rPr>
        <w:t>2.1、清点与确认：投标方须有装卸货区域，回收包材、清洗后包材可以在“装卸货区域”进行清点，确认包材规格、数量、外观情况；配备视频监控以记录清点过程。</w:t>
      </w:r>
      <w:r>
        <w:rPr>
          <w:rFonts w:hint="eastAsia" w:ascii="仿宋" w:hAnsi="仿宋" w:eastAsia="仿宋" w:cs="仿宋"/>
          <w:sz w:val="24"/>
        </w:rPr>
        <w:br w:type="textWrapping"/>
      </w:r>
      <w:r>
        <w:rPr>
          <w:rFonts w:ascii="仿宋" w:hAnsi="仿宋" w:eastAsia="仿宋" w:cs="仿宋"/>
          <w:sz w:val="24"/>
        </w:rPr>
        <w:t>3.</w:t>
      </w:r>
      <w:r>
        <w:rPr>
          <w:rFonts w:hint="eastAsia" w:ascii="仿宋" w:hAnsi="仿宋" w:eastAsia="仿宋" w:cs="仿宋"/>
          <w:sz w:val="24"/>
        </w:rPr>
        <w:t>2.2、差异处理：现场人员如发现数量、规格存在差异，应及时拍照、录像并反馈给对接人，并将确认结果于第一时间反馈至我司。</w:t>
      </w:r>
      <w:r>
        <w:rPr>
          <w:rFonts w:hint="eastAsia" w:ascii="仿宋" w:hAnsi="仿宋" w:eastAsia="仿宋" w:cs="仿宋"/>
          <w:sz w:val="24"/>
        </w:rPr>
        <w:br w:type="textWrapping"/>
      </w:r>
      <w:r>
        <w:rPr>
          <w:rFonts w:ascii="仿宋" w:hAnsi="仿宋" w:eastAsia="仿宋" w:cs="仿宋"/>
          <w:sz w:val="24"/>
        </w:rPr>
        <w:t>3.</w:t>
      </w:r>
      <w:r>
        <w:rPr>
          <w:rFonts w:hint="eastAsia" w:ascii="仿宋" w:hAnsi="仿宋" w:eastAsia="仿宋" w:cs="仿宋"/>
          <w:sz w:val="24"/>
        </w:rPr>
        <w:t>2.3、单据交接：在收货、派送包材时，投标人应当与交接人办理货物交接手续，并于当时对货物、单据拍照，及时上传至指定联络群；单据须保留原件，每月整理统一交至我司。</w:t>
      </w:r>
    </w:p>
    <w:p w14:paraId="2953805D">
      <w:pPr>
        <w:spacing w:before="156" w:beforeLines="50" w:line="312" w:lineRule="auto"/>
        <w:rPr>
          <w:rFonts w:hint="eastAsia" w:ascii="仿宋" w:hAnsi="仿宋" w:eastAsia="仿宋" w:cs="仿宋"/>
          <w:sz w:val="24"/>
        </w:rPr>
      </w:pPr>
      <w:r>
        <w:rPr>
          <w:rFonts w:hint="eastAsia" w:ascii="仿宋" w:hAnsi="仿宋" w:eastAsia="仿宋" w:cs="仿宋"/>
          <w:b/>
          <w:bCs/>
          <w:sz w:val="24"/>
        </w:rPr>
        <w:t>3</w:t>
      </w:r>
      <w:r>
        <w:rPr>
          <w:rFonts w:ascii="仿宋" w:hAnsi="仿宋" w:eastAsia="仿宋" w:cs="仿宋"/>
          <w:b/>
          <w:bCs/>
          <w:sz w:val="24"/>
        </w:rPr>
        <w:t>.3</w:t>
      </w:r>
      <w:r>
        <w:rPr>
          <w:rFonts w:hint="eastAsia" w:ascii="仿宋" w:hAnsi="仿宋" w:eastAsia="仿宋" w:cs="仿宋"/>
          <w:b/>
          <w:bCs/>
          <w:sz w:val="24"/>
        </w:rPr>
        <w:t xml:space="preserve">、台账及盘点要求 </w:t>
      </w:r>
      <w:r>
        <w:rPr>
          <w:rFonts w:hint="eastAsia" w:ascii="仿宋" w:hAnsi="仿宋" w:eastAsia="仿宋" w:cs="仿宋"/>
          <w:b/>
          <w:bCs/>
          <w:sz w:val="24"/>
        </w:rPr>
        <w:br w:type="textWrapping"/>
      </w:r>
      <w:r>
        <w:rPr>
          <w:rFonts w:ascii="仿宋" w:hAnsi="仿宋" w:eastAsia="仿宋" w:cs="仿宋"/>
          <w:sz w:val="24"/>
        </w:rPr>
        <w:t>3.</w:t>
      </w:r>
      <w:r>
        <w:rPr>
          <w:rFonts w:hint="eastAsia" w:ascii="仿宋" w:hAnsi="仿宋" w:eastAsia="仿宋" w:cs="仿宋"/>
          <w:sz w:val="24"/>
        </w:rPr>
        <w:t>3.1、每日台账更新：按我司台账标准格式做账，每日上午09:00前发送昨日及之前的收发存数据报告。</w:t>
      </w:r>
    </w:p>
    <w:p w14:paraId="582728BB">
      <w:pPr>
        <w:spacing w:line="312" w:lineRule="auto"/>
        <w:rPr>
          <w:rFonts w:hint="eastAsia" w:ascii="仿宋" w:hAnsi="仿宋" w:eastAsia="仿宋" w:cs="仿宋"/>
          <w:sz w:val="24"/>
        </w:rPr>
      </w:pPr>
      <w:r>
        <w:rPr>
          <w:rFonts w:hint="eastAsia" w:ascii="仿宋" w:hAnsi="仿宋" w:eastAsia="仿宋" w:cs="仿宋"/>
          <w:sz w:val="24"/>
        </w:rPr>
        <w:t>3</w:t>
      </w:r>
      <w:r>
        <w:rPr>
          <w:rFonts w:ascii="仿宋" w:hAnsi="仿宋" w:eastAsia="仿宋" w:cs="仿宋"/>
          <w:sz w:val="24"/>
        </w:rPr>
        <w:t>.3.2</w:t>
      </w:r>
      <w:r>
        <w:rPr>
          <w:rFonts w:hint="eastAsia" w:ascii="仿宋" w:hAnsi="仿宋" w:eastAsia="仿宋" w:cs="仿宋"/>
          <w:sz w:val="24"/>
        </w:rPr>
        <w:t>、定期盘点：按月度执行包材联合盘点，并通过邮件提交盘点结果。</w:t>
      </w:r>
    </w:p>
    <w:p w14:paraId="4BFA8638">
      <w:pPr>
        <w:spacing w:before="156" w:beforeLines="50" w:line="312" w:lineRule="auto"/>
        <w:rPr>
          <w:rFonts w:ascii="仿宋" w:hAnsi="仿宋" w:eastAsia="仿宋" w:cs="仿宋"/>
          <w:sz w:val="24"/>
        </w:rPr>
      </w:pPr>
      <w:r>
        <w:rPr>
          <w:rFonts w:hint="eastAsia" w:ascii="仿宋" w:hAnsi="仿宋" w:eastAsia="仿宋" w:cs="仿宋"/>
          <w:b/>
          <w:bCs/>
          <w:sz w:val="24"/>
        </w:rPr>
        <w:t>3</w:t>
      </w:r>
      <w:r>
        <w:rPr>
          <w:rFonts w:ascii="仿宋" w:hAnsi="仿宋" w:eastAsia="仿宋" w:cs="仿宋"/>
          <w:b/>
          <w:bCs/>
          <w:sz w:val="24"/>
        </w:rPr>
        <w:t>.3</w:t>
      </w:r>
      <w:r>
        <w:rPr>
          <w:rFonts w:hint="eastAsia" w:ascii="仿宋" w:hAnsi="仿宋" w:eastAsia="仿宋" w:cs="仿宋"/>
          <w:b/>
          <w:bCs/>
          <w:sz w:val="24"/>
        </w:rPr>
        <w:t>、每日产能及送货量要求</w:t>
      </w:r>
    </w:p>
    <w:p w14:paraId="6477B9BC">
      <w:pPr>
        <w:spacing w:line="312" w:lineRule="auto"/>
        <w:rPr>
          <w:rFonts w:ascii="仿宋" w:hAnsi="仿宋" w:eastAsia="仿宋" w:cs="仿宋"/>
          <w:bCs/>
          <w:sz w:val="24"/>
        </w:rPr>
      </w:pPr>
      <w:r>
        <w:rPr>
          <w:rFonts w:ascii="仿宋" w:hAnsi="仿宋" w:eastAsia="仿宋" w:cs="仿宋"/>
          <w:bCs/>
          <w:sz w:val="24"/>
        </w:rPr>
        <w:t>3.3</w:t>
      </w:r>
      <w:r>
        <w:rPr>
          <w:rFonts w:hint="eastAsia" w:ascii="仿宋" w:hAnsi="仿宋" w:eastAsia="仿宋" w:cs="仿宋"/>
          <w:bCs/>
          <w:sz w:val="24"/>
        </w:rPr>
        <w:t>.1、日产能标准：同时包含BOX盒、卡板、托盘三大类，各自量为</w:t>
      </w:r>
      <w:r>
        <w:rPr>
          <w:rFonts w:hint="eastAsia" w:ascii="仿宋" w:hAnsi="仿宋" w:eastAsia="仿宋" w:cs="仿宋"/>
          <w:sz w:val="24"/>
        </w:rPr>
        <w:t>32寸BOX盒960个（其他尺寸折算）、各型号卡板约200个、各型号托盘约5000个。</w:t>
      </w:r>
    </w:p>
    <w:p w14:paraId="5F1A269A">
      <w:pPr>
        <w:spacing w:line="312" w:lineRule="auto"/>
        <w:rPr>
          <w:rFonts w:ascii="仿宋" w:hAnsi="仿宋" w:eastAsia="仿宋" w:cs="仿宋"/>
          <w:sz w:val="24"/>
        </w:rPr>
      </w:pPr>
      <w:r>
        <w:rPr>
          <w:rFonts w:ascii="仿宋" w:hAnsi="仿宋" w:eastAsia="仿宋" w:cs="仿宋"/>
          <w:sz w:val="24"/>
        </w:rPr>
        <w:t>3.3</w:t>
      </w:r>
      <w:r>
        <w:rPr>
          <w:rFonts w:hint="eastAsia" w:ascii="仿宋" w:hAnsi="仿宋" w:eastAsia="仿宋" w:cs="仿宋"/>
          <w:sz w:val="24"/>
        </w:rPr>
        <w:t>.2、日均送货量：平均每天4-6车次，每车装载12-16板。</w:t>
      </w:r>
    </w:p>
    <w:p w14:paraId="4A01F698">
      <w:pPr>
        <w:spacing w:before="156" w:beforeLines="50" w:line="312" w:lineRule="auto"/>
        <w:rPr>
          <w:rFonts w:ascii="仿宋" w:hAnsi="仿宋" w:eastAsia="仿宋" w:cs="仿宋"/>
          <w:sz w:val="24"/>
        </w:rPr>
      </w:pPr>
      <w:r>
        <w:rPr>
          <w:rFonts w:hint="eastAsia" w:ascii="仿宋" w:hAnsi="仿宋" w:eastAsia="仿宋" w:cs="仿宋"/>
          <w:b/>
          <w:bCs/>
          <w:sz w:val="24"/>
        </w:rPr>
        <w:t>3</w:t>
      </w:r>
      <w:r>
        <w:rPr>
          <w:rFonts w:ascii="仿宋" w:hAnsi="仿宋" w:eastAsia="仿宋" w:cs="仿宋"/>
          <w:b/>
          <w:bCs/>
          <w:sz w:val="24"/>
        </w:rPr>
        <w:t>.5</w:t>
      </w:r>
      <w:r>
        <w:rPr>
          <w:rFonts w:hint="eastAsia" w:ascii="仿宋" w:hAnsi="仿宋" w:eastAsia="仿宋" w:cs="仿宋"/>
          <w:b/>
          <w:bCs/>
          <w:sz w:val="24"/>
        </w:rPr>
        <w:t>、车辆及送货要求</w:t>
      </w:r>
    </w:p>
    <w:p w14:paraId="1BC77537">
      <w:pPr>
        <w:pStyle w:val="12"/>
        <w:spacing w:line="312" w:lineRule="auto"/>
        <w:ind w:firstLine="0" w:firstLineChars="0"/>
        <w:rPr>
          <w:rFonts w:ascii="仿宋" w:hAnsi="仿宋" w:eastAsia="仿宋" w:cs="仿宋"/>
          <w:sz w:val="24"/>
        </w:rPr>
      </w:pPr>
      <w:r>
        <w:rPr>
          <w:rFonts w:ascii="仿宋" w:hAnsi="仿宋" w:eastAsia="仿宋" w:cs="仿宋"/>
          <w:sz w:val="24"/>
        </w:rPr>
        <w:t>3.5</w:t>
      </w:r>
      <w:r>
        <w:rPr>
          <w:rFonts w:hint="eastAsia" w:ascii="仿宋" w:hAnsi="仿宋" w:eastAsia="仿宋" w:cs="仿宋"/>
          <w:sz w:val="24"/>
        </w:rPr>
        <w:t>.1、配备固定车辆：深圳地区至少2辆9.6米厢式货车，咸阳地区至少1辆。</w:t>
      </w:r>
      <w:r>
        <w:rPr>
          <w:rFonts w:ascii="仿宋" w:hAnsi="仿宋" w:eastAsia="仿宋" w:cs="仿宋"/>
          <w:sz w:val="24"/>
        </w:rPr>
        <w:t>3.5.2</w:t>
      </w:r>
      <w:r>
        <w:rPr>
          <w:rFonts w:hint="eastAsia" w:ascii="仿宋" w:hAnsi="仿宋" w:eastAsia="仿宋" w:cs="仿宋"/>
          <w:sz w:val="24"/>
        </w:rPr>
        <w:t>、环保要求：咸阳地区的送货车辆需达到“国六”排放标准或使用新能源汽车。</w:t>
      </w:r>
    </w:p>
    <w:p w14:paraId="65E71512">
      <w:pPr>
        <w:pStyle w:val="12"/>
        <w:spacing w:line="312" w:lineRule="auto"/>
        <w:ind w:firstLine="0" w:firstLineChars="0"/>
        <w:rPr>
          <w:rFonts w:ascii="仿宋" w:hAnsi="仿宋" w:eastAsia="仿宋" w:cs="仿宋"/>
          <w:sz w:val="24"/>
        </w:rPr>
      </w:pPr>
      <w:r>
        <w:rPr>
          <w:rFonts w:ascii="仿宋" w:hAnsi="仿宋" w:eastAsia="仿宋" w:cs="仿宋"/>
          <w:sz w:val="24"/>
        </w:rPr>
        <w:t>3.5.3</w:t>
      </w:r>
      <w:r>
        <w:rPr>
          <w:rFonts w:hint="eastAsia" w:ascii="仿宋" w:hAnsi="仿宋" w:eastAsia="仿宋" w:cs="仿宋"/>
          <w:sz w:val="24"/>
        </w:rPr>
        <w:t>、入厂要求：深圳地区由盛波负责进厂预约，投标方提供人员及车辆信息，；咸阳车辆进厂由投标方自行预约。</w:t>
      </w:r>
    </w:p>
    <w:p w14:paraId="408A0B44">
      <w:pPr>
        <w:pStyle w:val="12"/>
        <w:spacing w:line="312" w:lineRule="auto"/>
        <w:ind w:firstLine="0" w:firstLineChars="0"/>
        <w:rPr>
          <w:rFonts w:ascii="仿宋" w:hAnsi="仿宋" w:eastAsia="仿宋" w:cs="仿宋"/>
          <w:sz w:val="24"/>
        </w:rPr>
      </w:pPr>
      <w:r>
        <w:rPr>
          <w:rFonts w:ascii="仿宋" w:hAnsi="仿宋" w:eastAsia="仿宋" w:cs="仿宋"/>
          <w:sz w:val="24"/>
        </w:rPr>
        <w:t>3.5.3</w:t>
      </w:r>
      <w:r>
        <w:rPr>
          <w:rFonts w:hint="eastAsia" w:ascii="仿宋" w:hAnsi="仿宋" w:eastAsia="仿宋" w:cs="仿宋"/>
          <w:sz w:val="24"/>
        </w:rPr>
        <w:t>、装卸货要求：包材回收送货货物、包材清洗装车、包材送货至我司、咸阳地点的卸货有投标方负责，并负责将包材卸货至指定位置。</w:t>
      </w:r>
    </w:p>
    <w:p w14:paraId="015220EA">
      <w:pPr>
        <w:spacing w:before="156" w:beforeLines="50" w:line="312" w:lineRule="auto"/>
        <w:rPr>
          <w:rFonts w:ascii="仿宋" w:hAnsi="仿宋" w:eastAsia="仿宋" w:cs="仿宋"/>
          <w:sz w:val="24"/>
        </w:rPr>
      </w:pPr>
      <w:r>
        <w:rPr>
          <w:rFonts w:hint="eastAsia" w:ascii="仿宋" w:hAnsi="仿宋" w:eastAsia="仿宋" w:cs="仿宋"/>
          <w:b/>
          <w:bCs/>
          <w:sz w:val="24"/>
        </w:rPr>
        <w:t>3</w:t>
      </w:r>
      <w:r>
        <w:rPr>
          <w:rFonts w:ascii="仿宋" w:hAnsi="仿宋" w:eastAsia="仿宋" w:cs="仿宋"/>
          <w:b/>
          <w:bCs/>
          <w:sz w:val="24"/>
        </w:rPr>
        <w:t>.6</w:t>
      </w:r>
      <w:r>
        <w:rPr>
          <w:rFonts w:hint="eastAsia" w:ascii="仿宋" w:hAnsi="仿宋" w:eastAsia="仿宋" w:cs="仿宋"/>
          <w:b/>
          <w:bCs/>
          <w:sz w:val="24"/>
        </w:rPr>
        <w:t>、人员及工作时间</w:t>
      </w:r>
    </w:p>
    <w:p w14:paraId="57788ED1">
      <w:pPr>
        <w:pStyle w:val="12"/>
        <w:spacing w:line="312" w:lineRule="auto"/>
        <w:ind w:firstLine="0" w:firstLineChars="0"/>
        <w:rPr>
          <w:rFonts w:hint="eastAsia" w:ascii="仿宋" w:hAnsi="仿宋" w:eastAsia="仿宋" w:cs="仿宋"/>
          <w:sz w:val="24"/>
        </w:rPr>
      </w:pPr>
      <w:r>
        <w:rPr>
          <w:rFonts w:ascii="仿宋" w:hAnsi="仿宋" w:eastAsia="仿宋" w:cs="仿宋"/>
          <w:sz w:val="24"/>
        </w:rPr>
        <w:t>3.6.1</w:t>
      </w:r>
      <w:r>
        <w:rPr>
          <w:rFonts w:hint="eastAsia" w:ascii="仿宋" w:hAnsi="仿宋" w:eastAsia="仿宋" w:cs="仿宋"/>
          <w:sz w:val="24"/>
        </w:rPr>
        <w:t>、全年无休服务：全年365天无间断运营，实行24小时值班制度。</w:t>
      </w:r>
    </w:p>
    <w:p w14:paraId="46100423">
      <w:pPr>
        <w:pStyle w:val="12"/>
        <w:spacing w:line="312" w:lineRule="auto"/>
        <w:ind w:firstLine="0" w:firstLineChars="0"/>
        <w:rPr>
          <w:rFonts w:hint="default" w:ascii="仿宋" w:hAnsi="仿宋" w:eastAsia="仿宋" w:cs="仿宋"/>
          <w:sz w:val="24"/>
          <w:lang w:val="en-US" w:eastAsia="zh-CN"/>
        </w:rPr>
      </w:pPr>
      <w:r>
        <w:rPr>
          <w:rFonts w:hint="eastAsia" w:ascii="仿宋" w:hAnsi="仿宋" w:eastAsia="仿宋" w:cs="仿宋"/>
          <w:sz w:val="24"/>
          <w:lang w:val="en-US" w:eastAsia="zh-CN"/>
        </w:rPr>
        <w:t>3.6.2、叫料时效：在备有安全库存前提下，接到公司内部叫料需求，需在8</w:t>
      </w:r>
      <w:bookmarkStart w:id="0" w:name="_GoBack"/>
      <w:bookmarkEnd w:id="0"/>
      <w:r>
        <w:rPr>
          <w:rFonts w:hint="eastAsia" w:ascii="仿宋" w:hAnsi="仿宋" w:eastAsia="仿宋" w:cs="仿宋"/>
          <w:sz w:val="24"/>
          <w:lang w:val="en-US" w:eastAsia="zh-CN"/>
        </w:rPr>
        <w:t>小时内到货。</w:t>
      </w:r>
    </w:p>
    <w:p w14:paraId="6585EF54">
      <w:pPr>
        <w:spacing w:before="156" w:beforeLines="50" w:line="312" w:lineRule="auto"/>
        <w:rPr>
          <w:rFonts w:hint="eastAsia" w:ascii="仿宋" w:hAnsi="仿宋" w:eastAsia="仿宋" w:cs="仿宋"/>
          <w:b/>
          <w:bCs/>
          <w:sz w:val="24"/>
        </w:rPr>
      </w:pPr>
      <w:r>
        <w:rPr>
          <w:rFonts w:hint="eastAsia" w:ascii="仿宋" w:hAnsi="仿宋" w:eastAsia="仿宋" w:cs="仿宋"/>
          <w:b/>
          <w:bCs/>
          <w:sz w:val="24"/>
        </w:rPr>
        <w:t>3</w:t>
      </w:r>
      <w:r>
        <w:rPr>
          <w:rFonts w:ascii="仿宋" w:hAnsi="仿宋" w:eastAsia="仿宋" w:cs="仿宋"/>
          <w:b/>
          <w:bCs/>
          <w:sz w:val="24"/>
        </w:rPr>
        <w:t>.7</w:t>
      </w:r>
      <w:r>
        <w:rPr>
          <w:rFonts w:hint="eastAsia" w:ascii="仿宋" w:hAnsi="仿宋" w:eastAsia="仿宋" w:cs="仿宋"/>
          <w:b/>
          <w:bCs/>
          <w:sz w:val="24"/>
        </w:rPr>
        <w:t>、清洗要求及作业标准</w:t>
      </w:r>
    </w:p>
    <w:p w14:paraId="1773DA43">
      <w:pPr>
        <w:pStyle w:val="3"/>
        <w:spacing w:before="120" w:after="156" w:afterLines="50" w:line="400" w:lineRule="exact"/>
        <w:jc w:val="center"/>
        <w:rPr>
          <w:rFonts w:cs="仿宋"/>
        </w:rPr>
      </w:pPr>
      <w:r>
        <w:rPr>
          <w:rFonts w:hint="eastAsia" w:cs="仿宋"/>
          <w:b/>
          <w:bCs/>
        </w:rPr>
        <w:t>托盘回收清洗标准</w:t>
      </w:r>
    </w:p>
    <w:tbl>
      <w:tblPr>
        <w:tblStyle w:val="14"/>
        <w:tblW w:w="6392" w:type="pct"/>
        <w:tblInd w:w="-1271"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988"/>
        <w:gridCol w:w="4960"/>
        <w:gridCol w:w="2694"/>
        <w:gridCol w:w="989"/>
      </w:tblGrid>
      <w:tr w14:paraId="4235709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6" w:hRule="atLeast"/>
        </w:trPr>
        <w:tc>
          <w:tcPr>
            <w:tcW w:w="935" w:type="pct"/>
            <w:vAlign w:val="center"/>
          </w:tcPr>
          <w:p w14:paraId="0BA86C34">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名称</w:t>
            </w:r>
          </w:p>
        </w:tc>
        <w:tc>
          <w:tcPr>
            <w:tcW w:w="2333" w:type="pct"/>
            <w:vAlign w:val="center"/>
          </w:tcPr>
          <w:p w14:paraId="704990D7">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6"/>
                <w:sz w:val="24"/>
                <w:szCs w:val="24"/>
              </w:rPr>
              <w:t>检查项目</w:t>
            </w:r>
          </w:p>
        </w:tc>
        <w:tc>
          <w:tcPr>
            <w:tcW w:w="1267" w:type="pct"/>
            <w:vAlign w:val="center"/>
          </w:tcPr>
          <w:p w14:paraId="7F0C6BC3">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标准</w:t>
            </w:r>
          </w:p>
        </w:tc>
        <w:tc>
          <w:tcPr>
            <w:tcW w:w="466" w:type="pct"/>
            <w:vAlign w:val="center"/>
          </w:tcPr>
          <w:p w14:paraId="7A7D4F5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备注</w:t>
            </w:r>
          </w:p>
        </w:tc>
      </w:tr>
      <w:tr w14:paraId="3312F07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935" w:type="pct"/>
            <w:vAlign w:val="center"/>
          </w:tcPr>
          <w:p w14:paraId="0015B80B">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折痕及变形</w:t>
            </w:r>
          </w:p>
        </w:tc>
        <w:tc>
          <w:tcPr>
            <w:tcW w:w="2333" w:type="pct"/>
            <w:vAlign w:val="center"/>
          </w:tcPr>
          <w:p w14:paraId="045F445C">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表观可见的折痕和变形</w:t>
            </w:r>
          </w:p>
        </w:tc>
        <w:tc>
          <w:tcPr>
            <w:tcW w:w="1267" w:type="pct"/>
            <w:vAlign w:val="center"/>
          </w:tcPr>
          <w:p w14:paraId="39ABCC7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466" w:type="pct"/>
            <w:vAlign w:val="center"/>
          </w:tcPr>
          <w:p w14:paraId="259DEDF5">
            <w:pPr>
              <w:spacing w:before="100" w:beforeAutospacing="1" w:line="312" w:lineRule="auto"/>
              <w:jc w:val="center"/>
              <w:rPr>
                <w:rFonts w:ascii="仿宋" w:hAnsi="仿宋" w:eastAsia="仿宋" w:cs="仿宋"/>
                <w:sz w:val="24"/>
              </w:rPr>
            </w:pPr>
          </w:p>
        </w:tc>
      </w:tr>
      <w:tr w14:paraId="137918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89" w:hRule="atLeast"/>
        </w:trPr>
        <w:tc>
          <w:tcPr>
            <w:tcW w:w="935" w:type="pct"/>
            <w:vAlign w:val="center"/>
          </w:tcPr>
          <w:p w14:paraId="0D9D475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1"/>
                <w:sz w:val="24"/>
                <w:szCs w:val="24"/>
              </w:rPr>
              <w:t>笔印及胶带印</w:t>
            </w:r>
          </w:p>
        </w:tc>
        <w:tc>
          <w:tcPr>
            <w:tcW w:w="2333" w:type="pct"/>
            <w:vAlign w:val="center"/>
          </w:tcPr>
          <w:p w14:paraId="7D441A73">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1"/>
                <w:sz w:val="24"/>
                <w:szCs w:val="24"/>
              </w:rPr>
              <w:t>笔和胶带的印记</w:t>
            </w:r>
          </w:p>
        </w:tc>
        <w:tc>
          <w:tcPr>
            <w:tcW w:w="1267" w:type="pct"/>
            <w:vAlign w:val="center"/>
          </w:tcPr>
          <w:p w14:paraId="3F7F1B40">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466" w:type="pct"/>
            <w:vAlign w:val="center"/>
          </w:tcPr>
          <w:p w14:paraId="2CC6E7FC">
            <w:pPr>
              <w:spacing w:before="100" w:beforeAutospacing="1" w:line="312" w:lineRule="auto"/>
              <w:jc w:val="center"/>
              <w:rPr>
                <w:rFonts w:ascii="仿宋" w:hAnsi="仿宋" w:eastAsia="仿宋" w:cs="仿宋"/>
                <w:sz w:val="24"/>
              </w:rPr>
            </w:pPr>
          </w:p>
        </w:tc>
      </w:tr>
      <w:tr w14:paraId="4A4B6E7F">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35" w:type="pct"/>
            <w:vAlign w:val="center"/>
          </w:tcPr>
          <w:p w14:paraId="1CE2DCB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脏污、异物</w:t>
            </w:r>
          </w:p>
        </w:tc>
        <w:tc>
          <w:tcPr>
            <w:tcW w:w="2333" w:type="pct"/>
            <w:vAlign w:val="center"/>
          </w:tcPr>
          <w:p w14:paraId="499C26CA">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1"/>
                <w:sz w:val="24"/>
                <w:szCs w:val="24"/>
              </w:rPr>
              <w:t>表面的脏污和异物</w:t>
            </w:r>
          </w:p>
        </w:tc>
        <w:tc>
          <w:tcPr>
            <w:tcW w:w="1267" w:type="pct"/>
            <w:vAlign w:val="center"/>
          </w:tcPr>
          <w:p w14:paraId="7D70420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466" w:type="pct"/>
            <w:vAlign w:val="center"/>
          </w:tcPr>
          <w:p w14:paraId="474CDCDC">
            <w:pPr>
              <w:spacing w:before="100" w:beforeAutospacing="1" w:line="312" w:lineRule="auto"/>
              <w:jc w:val="center"/>
              <w:rPr>
                <w:rFonts w:ascii="仿宋" w:hAnsi="仿宋" w:eastAsia="仿宋" w:cs="仿宋"/>
                <w:sz w:val="24"/>
              </w:rPr>
            </w:pPr>
          </w:p>
        </w:tc>
      </w:tr>
      <w:tr w14:paraId="09E9962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35" w:type="pct"/>
            <w:vAlign w:val="center"/>
          </w:tcPr>
          <w:p w14:paraId="6AA008B6">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刮伤、撞伤</w:t>
            </w:r>
          </w:p>
        </w:tc>
        <w:tc>
          <w:tcPr>
            <w:tcW w:w="2333" w:type="pct"/>
            <w:vAlign w:val="center"/>
          </w:tcPr>
          <w:p w14:paraId="05466C9F">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边角撞伤和严重的刀具划伤</w:t>
            </w:r>
          </w:p>
        </w:tc>
        <w:tc>
          <w:tcPr>
            <w:tcW w:w="1267" w:type="pct"/>
            <w:vAlign w:val="center"/>
          </w:tcPr>
          <w:p w14:paraId="3F569993">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466" w:type="pct"/>
            <w:vAlign w:val="center"/>
          </w:tcPr>
          <w:p w14:paraId="3176354A">
            <w:pPr>
              <w:spacing w:before="100" w:beforeAutospacing="1" w:line="312" w:lineRule="auto"/>
              <w:jc w:val="center"/>
              <w:rPr>
                <w:rFonts w:ascii="仿宋" w:hAnsi="仿宋" w:eastAsia="仿宋" w:cs="仿宋"/>
                <w:sz w:val="24"/>
              </w:rPr>
            </w:pPr>
          </w:p>
        </w:tc>
      </w:tr>
      <w:tr w14:paraId="1BE866E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35" w:type="pct"/>
            <w:vAlign w:val="center"/>
          </w:tcPr>
          <w:p w14:paraId="78568BD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不良品</w:t>
            </w:r>
          </w:p>
        </w:tc>
        <w:tc>
          <w:tcPr>
            <w:tcW w:w="2333" w:type="pct"/>
            <w:vAlign w:val="center"/>
          </w:tcPr>
          <w:p w14:paraId="58838192">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破损、变色单独放一起</w:t>
            </w:r>
          </w:p>
        </w:tc>
        <w:tc>
          <w:tcPr>
            <w:tcW w:w="1267" w:type="pct"/>
            <w:vAlign w:val="center"/>
          </w:tcPr>
          <w:p w14:paraId="76B5E0B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单独放</w:t>
            </w:r>
          </w:p>
        </w:tc>
        <w:tc>
          <w:tcPr>
            <w:tcW w:w="466" w:type="pct"/>
            <w:vAlign w:val="center"/>
          </w:tcPr>
          <w:p w14:paraId="7017FC6A">
            <w:pPr>
              <w:spacing w:before="100" w:beforeAutospacing="1" w:line="312" w:lineRule="auto"/>
              <w:jc w:val="center"/>
              <w:rPr>
                <w:rFonts w:ascii="仿宋" w:hAnsi="仿宋" w:eastAsia="仿宋" w:cs="仿宋"/>
                <w:sz w:val="24"/>
              </w:rPr>
            </w:pPr>
          </w:p>
        </w:tc>
      </w:tr>
      <w:tr w14:paraId="741022D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935" w:type="pct"/>
            <w:vAlign w:val="center"/>
          </w:tcPr>
          <w:p w14:paraId="66215042">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5"/>
                <w:sz w:val="24"/>
                <w:szCs w:val="24"/>
              </w:rPr>
              <w:t>洁净度</w:t>
            </w:r>
          </w:p>
        </w:tc>
        <w:tc>
          <w:tcPr>
            <w:tcW w:w="2333" w:type="pct"/>
            <w:vAlign w:val="center"/>
          </w:tcPr>
          <w:p w14:paraId="7B6C66EA">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洁净度达到无尘室要求</w:t>
            </w:r>
          </w:p>
        </w:tc>
        <w:tc>
          <w:tcPr>
            <w:tcW w:w="1267" w:type="pct"/>
            <w:vAlign w:val="center"/>
          </w:tcPr>
          <w:p w14:paraId="05A0D28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符合无尘室要求</w:t>
            </w:r>
          </w:p>
        </w:tc>
        <w:tc>
          <w:tcPr>
            <w:tcW w:w="466" w:type="pct"/>
            <w:vAlign w:val="center"/>
          </w:tcPr>
          <w:p w14:paraId="2A660D55">
            <w:pPr>
              <w:spacing w:before="100" w:beforeAutospacing="1" w:line="312" w:lineRule="auto"/>
              <w:jc w:val="center"/>
              <w:rPr>
                <w:rFonts w:ascii="仿宋" w:hAnsi="仿宋" w:eastAsia="仿宋" w:cs="仿宋"/>
                <w:sz w:val="24"/>
              </w:rPr>
            </w:pPr>
          </w:p>
        </w:tc>
      </w:tr>
      <w:tr w14:paraId="767D929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53" w:hRule="atLeast"/>
        </w:trPr>
        <w:tc>
          <w:tcPr>
            <w:tcW w:w="935" w:type="pct"/>
            <w:vAlign w:val="center"/>
          </w:tcPr>
          <w:p w14:paraId="0F87CBB2">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包装方式</w:t>
            </w:r>
          </w:p>
        </w:tc>
        <w:tc>
          <w:tcPr>
            <w:tcW w:w="2333" w:type="pct"/>
            <w:vAlign w:val="center"/>
          </w:tcPr>
          <w:p w14:paraId="4EFB26F2">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用缠绕膜将四周及顶部缠绕牢固，破损拒收</w:t>
            </w:r>
          </w:p>
        </w:tc>
        <w:tc>
          <w:tcPr>
            <w:tcW w:w="1267" w:type="pct"/>
            <w:vAlign w:val="center"/>
          </w:tcPr>
          <w:p w14:paraId="03B53BBC">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包装要牢固，破损拒收</w:t>
            </w:r>
          </w:p>
        </w:tc>
        <w:tc>
          <w:tcPr>
            <w:tcW w:w="466" w:type="pct"/>
            <w:vAlign w:val="center"/>
          </w:tcPr>
          <w:p w14:paraId="4A106F62">
            <w:pPr>
              <w:spacing w:before="100" w:beforeAutospacing="1" w:line="312" w:lineRule="auto"/>
              <w:jc w:val="center"/>
              <w:rPr>
                <w:rFonts w:ascii="仿宋" w:hAnsi="仿宋" w:eastAsia="仿宋" w:cs="仿宋"/>
                <w:sz w:val="24"/>
              </w:rPr>
            </w:pPr>
          </w:p>
        </w:tc>
      </w:tr>
    </w:tbl>
    <w:p w14:paraId="1CDA6E3C">
      <w:pPr>
        <w:spacing w:before="120" w:after="156" w:afterLines="50" w:line="400" w:lineRule="exact"/>
        <w:rPr>
          <w:rFonts w:hint="eastAsia" w:ascii="仿宋" w:hAnsi="仿宋" w:eastAsia="仿宋" w:cs="仿宋"/>
          <w:sz w:val="24"/>
        </w:rPr>
      </w:pPr>
    </w:p>
    <w:p w14:paraId="0B428E6F">
      <w:pPr>
        <w:pStyle w:val="3"/>
        <w:spacing w:before="120" w:after="156" w:afterLines="50" w:line="400" w:lineRule="exact"/>
        <w:jc w:val="center"/>
        <w:rPr>
          <w:rFonts w:cs="仿宋"/>
          <w:b/>
          <w:bCs/>
        </w:rPr>
      </w:pPr>
    </w:p>
    <w:p w14:paraId="0FE36F33">
      <w:pPr>
        <w:pStyle w:val="3"/>
        <w:spacing w:before="120" w:after="156" w:afterLines="50" w:line="400" w:lineRule="exact"/>
        <w:jc w:val="center"/>
        <w:rPr>
          <w:rFonts w:cs="仿宋"/>
          <w:b/>
          <w:bCs/>
        </w:rPr>
      </w:pPr>
    </w:p>
    <w:p w14:paraId="64F85616">
      <w:pPr>
        <w:pStyle w:val="3"/>
        <w:spacing w:before="120" w:after="156" w:afterLines="50" w:line="400" w:lineRule="exact"/>
        <w:jc w:val="center"/>
        <w:rPr>
          <w:rFonts w:cs="仿宋"/>
        </w:rPr>
      </w:pPr>
      <w:r>
        <w:rPr>
          <w:rFonts w:hint="eastAsia" w:cs="仿宋"/>
          <w:b/>
          <w:bCs/>
        </w:rPr>
        <w:drawing>
          <wp:anchor distT="0" distB="0" distL="0" distR="0" simplePos="0" relativeHeight="251660288" behindDoc="0" locked="0" layoutInCell="1" allowOverlap="1">
            <wp:simplePos x="0" y="0"/>
            <wp:positionH relativeFrom="column">
              <wp:posOffset>6657340</wp:posOffset>
            </wp:positionH>
            <wp:positionV relativeFrom="paragraph">
              <wp:posOffset>1623060</wp:posOffset>
            </wp:positionV>
            <wp:extent cx="222885" cy="705485"/>
            <wp:effectExtent l="0" t="0" r="5715" b="10795"/>
            <wp:wrapNone/>
            <wp:docPr id="52" name="IM 52"/>
            <wp:cNvGraphicFramePr/>
            <a:graphic xmlns:a="http://schemas.openxmlformats.org/drawingml/2006/main">
              <a:graphicData uri="http://schemas.openxmlformats.org/drawingml/2006/picture">
                <pic:pic xmlns:pic="http://schemas.openxmlformats.org/drawingml/2006/picture">
                  <pic:nvPicPr>
                    <pic:cNvPr id="52" name="IM 52"/>
                    <pic:cNvPicPr/>
                  </pic:nvPicPr>
                  <pic:blipFill>
                    <a:blip r:embed="rId5"/>
                    <a:stretch>
                      <a:fillRect/>
                    </a:stretch>
                  </pic:blipFill>
                  <pic:spPr>
                    <a:xfrm>
                      <a:off x="0" y="0"/>
                      <a:ext cx="222863" cy="705388"/>
                    </a:xfrm>
                    <a:prstGeom prst="rect">
                      <a:avLst/>
                    </a:prstGeom>
                  </pic:spPr>
                </pic:pic>
              </a:graphicData>
            </a:graphic>
          </wp:anchor>
        </w:drawing>
      </w:r>
      <w:r>
        <w:rPr>
          <w:rFonts w:hint="eastAsia" w:cs="仿宋"/>
          <w:b/>
          <w:bCs/>
        </w:rPr>
        <w:t>卡板回收清洗标</w:t>
      </w:r>
    </w:p>
    <w:tbl>
      <w:tblPr>
        <w:tblStyle w:val="14"/>
        <w:tblW w:w="6222" w:type="pct"/>
        <w:tblInd w:w="-98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autofit"/>
        <w:tblCellMar>
          <w:top w:w="0" w:type="dxa"/>
          <w:left w:w="0" w:type="dxa"/>
          <w:bottom w:w="0" w:type="dxa"/>
          <w:right w:w="0" w:type="dxa"/>
        </w:tblCellMar>
      </w:tblPr>
      <w:tblGrid>
        <w:gridCol w:w="1560"/>
        <w:gridCol w:w="6095"/>
        <w:gridCol w:w="1985"/>
        <w:gridCol w:w="708"/>
      </w:tblGrid>
      <w:tr w14:paraId="6D1932E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4" w:hRule="atLeast"/>
        </w:trPr>
        <w:tc>
          <w:tcPr>
            <w:tcW w:w="754" w:type="pct"/>
            <w:vAlign w:val="center"/>
          </w:tcPr>
          <w:p w14:paraId="7DF7A4AF">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名称</w:t>
            </w:r>
          </w:p>
        </w:tc>
        <w:tc>
          <w:tcPr>
            <w:tcW w:w="2945" w:type="pct"/>
            <w:vAlign w:val="center"/>
          </w:tcPr>
          <w:p w14:paraId="2D1857EB">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6"/>
                <w:sz w:val="24"/>
                <w:szCs w:val="24"/>
              </w:rPr>
              <w:t>检查项目</w:t>
            </w:r>
          </w:p>
        </w:tc>
        <w:tc>
          <w:tcPr>
            <w:tcW w:w="959" w:type="pct"/>
            <w:vAlign w:val="center"/>
          </w:tcPr>
          <w:p w14:paraId="60CE1B7C">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标准</w:t>
            </w:r>
          </w:p>
        </w:tc>
        <w:tc>
          <w:tcPr>
            <w:tcW w:w="342" w:type="pct"/>
            <w:vAlign w:val="center"/>
          </w:tcPr>
          <w:p w14:paraId="4C3B85CB">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备注</w:t>
            </w:r>
          </w:p>
        </w:tc>
      </w:tr>
      <w:tr w14:paraId="64CAF1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54" w:type="pct"/>
            <w:vAlign w:val="center"/>
          </w:tcPr>
          <w:p w14:paraId="4BE9586C">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破损及变形</w:t>
            </w:r>
          </w:p>
        </w:tc>
        <w:tc>
          <w:tcPr>
            <w:tcW w:w="2945" w:type="pct"/>
            <w:vAlign w:val="center"/>
          </w:tcPr>
          <w:p w14:paraId="34C6F0C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大块破损和明显变形</w:t>
            </w:r>
          </w:p>
        </w:tc>
        <w:tc>
          <w:tcPr>
            <w:tcW w:w="959" w:type="pct"/>
            <w:vAlign w:val="center"/>
          </w:tcPr>
          <w:p w14:paraId="688B7B85">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342" w:type="pct"/>
            <w:vAlign w:val="center"/>
          </w:tcPr>
          <w:p w14:paraId="1DB20CAF">
            <w:pPr>
              <w:spacing w:before="100" w:beforeAutospacing="1" w:line="312" w:lineRule="auto"/>
              <w:jc w:val="center"/>
              <w:rPr>
                <w:rFonts w:ascii="仿宋" w:hAnsi="仿宋" w:eastAsia="仿宋" w:cs="仿宋"/>
                <w:sz w:val="24"/>
              </w:rPr>
            </w:pPr>
          </w:p>
        </w:tc>
      </w:tr>
      <w:tr w14:paraId="703F5EF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54" w:type="pct"/>
            <w:vAlign w:val="center"/>
          </w:tcPr>
          <w:p w14:paraId="3DE28E41">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脏污、异物</w:t>
            </w:r>
          </w:p>
        </w:tc>
        <w:tc>
          <w:tcPr>
            <w:tcW w:w="2945" w:type="pct"/>
            <w:vAlign w:val="center"/>
          </w:tcPr>
          <w:p w14:paraId="76FD065F">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表面、底部，背面、槽缝灰尘均不可有泥点、脏污、异物</w:t>
            </w:r>
          </w:p>
        </w:tc>
        <w:tc>
          <w:tcPr>
            <w:tcW w:w="959" w:type="pct"/>
            <w:vAlign w:val="center"/>
          </w:tcPr>
          <w:p w14:paraId="1F90E225">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无尘布檫不可有</w:t>
            </w:r>
          </w:p>
        </w:tc>
        <w:tc>
          <w:tcPr>
            <w:tcW w:w="342" w:type="pct"/>
            <w:vAlign w:val="center"/>
          </w:tcPr>
          <w:p w14:paraId="2944EB51">
            <w:pPr>
              <w:spacing w:before="100" w:beforeAutospacing="1" w:line="312" w:lineRule="auto"/>
              <w:jc w:val="center"/>
              <w:rPr>
                <w:rFonts w:ascii="仿宋" w:hAnsi="仿宋" w:eastAsia="仿宋" w:cs="仿宋"/>
                <w:sz w:val="24"/>
              </w:rPr>
            </w:pPr>
          </w:p>
        </w:tc>
      </w:tr>
      <w:tr w14:paraId="0301961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54" w:type="pct"/>
            <w:vAlign w:val="center"/>
          </w:tcPr>
          <w:p w14:paraId="4ED5EAF6">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非本司卡板</w:t>
            </w:r>
          </w:p>
        </w:tc>
        <w:tc>
          <w:tcPr>
            <w:tcW w:w="2945" w:type="pct"/>
            <w:vAlign w:val="center"/>
          </w:tcPr>
          <w:p w14:paraId="342CE8D5">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1"/>
                <w:sz w:val="24"/>
                <w:szCs w:val="24"/>
              </w:rPr>
              <w:t>非盛波光电卡板</w:t>
            </w:r>
          </w:p>
        </w:tc>
        <w:tc>
          <w:tcPr>
            <w:tcW w:w="959" w:type="pct"/>
            <w:vAlign w:val="center"/>
          </w:tcPr>
          <w:p w14:paraId="12A5156A">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342" w:type="pct"/>
            <w:vAlign w:val="center"/>
          </w:tcPr>
          <w:p w14:paraId="23AD8C0C">
            <w:pPr>
              <w:spacing w:before="100" w:beforeAutospacing="1" w:line="312" w:lineRule="auto"/>
              <w:jc w:val="center"/>
              <w:rPr>
                <w:rFonts w:ascii="仿宋" w:hAnsi="仿宋" w:eastAsia="仿宋" w:cs="仿宋"/>
                <w:sz w:val="24"/>
              </w:rPr>
            </w:pPr>
          </w:p>
        </w:tc>
      </w:tr>
      <w:tr w14:paraId="71D36F8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54" w:type="pct"/>
            <w:vAlign w:val="center"/>
          </w:tcPr>
          <w:p w14:paraId="6F9FE2AF">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刮伤、撞伤</w:t>
            </w:r>
          </w:p>
        </w:tc>
        <w:tc>
          <w:tcPr>
            <w:tcW w:w="2945" w:type="pct"/>
            <w:vAlign w:val="center"/>
          </w:tcPr>
          <w:p w14:paraId="2390ACF0">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边角撞伤和严重的刀具划伤</w:t>
            </w:r>
          </w:p>
        </w:tc>
        <w:tc>
          <w:tcPr>
            <w:tcW w:w="959" w:type="pct"/>
            <w:vAlign w:val="center"/>
          </w:tcPr>
          <w:p w14:paraId="0892EBD2">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3"/>
                <w:sz w:val="24"/>
                <w:szCs w:val="24"/>
              </w:rPr>
              <w:t>不可有</w:t>
            </w:r>
          </w:p>
        </w:tc>
        <w:tc>
          <w:tcPr>
            <w:tcW w:w="342" w:type="pct"/>
            <w:vAlign w:val="center"/>
          </w:tcPr>
          <w:p w14:paraId="6C0CFFE4">
            <w:pPr>
              <w:spacing w:before="100" w:beforeAutospacing="1" w:line="312" w:lineRule="auto"/>
              <w:jc w:val="center"/>
              <w:rPr>
                <w:rFonts w:ascii="仿宋" w:hAnsi="仿宋" w:eastAsia="仿宋" w:cs="仿宋"/>
                <w:sz w:val="24"/>
              </w:rPr>
            </w:pPr>
          </w:p>
        </w:tc>
      </w:tr>
      <w:tr w14:paraId="0577AD0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trPr>
        <w:tc>
          <w:tcPr>
            <w:tcW w:w="754" w:type="pct"/>
            <w:vAlign w:val="center"/>
          </w:tcPr>
          <w:p w14:paraId="5548868D">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5"/>
                <w:sz w:val="24"/>
                <w:szCs w:val="24"/>
              </w:rPr>
              <w:t>洁净度</w:t>
            </w:r>
          </w:p>
        </w:tc>
        <w:tc>
          <w:tcPr>
            <w:tcW w:w="2945" w:type="pct"/>
            <w:vAlign w:val="center"/>
          </w:tcPr>
          <w:p w14:paraId="5375F5E0">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洁净度达到无尘室要求</w:t>
            </w:r>
          </w:p>
        </w:tc>
        <w:tc>
          <w:tcPr>
            <w:tcW w:w="959" w:type="pct"/>
            <w:vAlign w:val="center"/>
          </w:tcPr>
          <w:p w14:paraId="5B4075E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符合无尘室要求</w:t>
            </w:r>
          </w:p>
        </w:tc>
        <w:tc>
          <w:tcPr>
            <w:tcW w:w="342" w:type="pct"/>
            <w:vAlign w:val="center"/>
          </w:tcPr>
          <w:p w14:paraId="0C347CB4">
            <w:pPr>
              <w:spacing w:before="100" w:beforeAutospacing="1" w:line="312" w:lineRule="auto"/>
              <w:jc w:val="center"/>
              <w:rPr>
                <w:rFonts w:ascii="仿宋" w:hAnsi="仿宋" w:eastAsia="仿宋" w:cs="仿宋"/>
                <w:sz w:val="24"/>
              </w:rPr>
            </w:pPr>
          </w:p>
        </w:tc>
      </w:tr>
      <w:tr w14:paraId="1876C56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8" w:hRule="atLeast"/>
        </w:trPr>
        <w:tc>
          <w:tcPr>
            <w:tcW w:w="754" w:type="pct"/>
            <w:vMerge w:val="restart"/>
            <w:tcBorders>
              <w:bottom w:val="nil"/>
            </w:tcBorders>
            <w:vAlign w:val="center"/>
          </w:tcPr>
          <w:p w14:paraId="3ABC778B">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包装方式</w:t>
            </w:r>
          </w:p>
        </w:tc>
        <w:tc>
          <w:tcPr>
            <w:tcW w:w="2945" w:type="pct"/>
            <w:vAlign w:val="center"/>
          </w:tcPr>
          <w:p w14:paraId="087834ED">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1、摆放要求：卡板同方向摆放13个</w:t>
            </w:r>
          </w:p>
        </w:tc>
        <w:tc>
          <w:tcPr>
            <w:tcW w:w="959" w:type="pct"/>
            <w:vAlign w:val="center"/>
          </w:tcPr>
          <w:p w14:paraId="6FAC32C9">
            <w:pPr>
              <w:spacing w:before="100" w:beforeAutospacing="1" w:line="312" w:lineRule="auto"/>
              <w:jc w:val="center"/>
              <w:rPr>
                <w:rFonts w:ascii="仿宋" w:hAnsi="仿宋" w:eastAsia="仿宋" w:cs="仿宋"/>
                <w:sz w:val="24"/>
              </w:rPr>
            </w:pPr>
          </w:p>
        </w:tc>
        <w:tc>
          <w:tcPr>
            <w:tcW w:w="342" w:type="pct"/>
            <w:vAlign w:val="center"/>
          </w:tcPr>
          <w:p w14:paraId="759FDAF7">
            <w:pPr>
              <w:spacing w:before="100" w:beforeAutospacing="1" w:line="312" w:lineRule="auto"/>
              <w:jc w:val="center"/>
              <w:rPr>
                <w:rFonts w:ascii="仿宋" w:hAnsi="仿宋" w:eastAsia="仿宋" w:cs="仿宋"/>
                <w:sz w:val="24"/>
              </w:rPr>
            </w:pPr>
          </w:p>
        </w:tc>
      </w:tr>
      <w:tr w14:paraId="345728C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04" w:hRule="atLeast"/>
        </w:trPr>
        <w:tc>
          <w:tcPr>
            <w:tcW w:w="754" w:type="pct"/>
            <w:vMerge w:val="continue"/>
            <w:tcBorders>
              <w:top w:val="nil"/>
            </w:tcBorders>
            <w:vAlign w:val="center"/>
          </w:tcPr>
          <w:p w14:paraId="5FFF1B5B">
            <w:pPr>
              <w:spacing w:before="100" w:beforeAutospacing="1" w:line="312" w:lineRule="auto"/>
              <w:jc w:val="center"/>
              <w:rPr>
                <w:rFonts w:ascii="仿宋" w:hAnsi="仿宋" w:eastAsia="仿宋" w:cs="仿宋"/>
                <w:sz w:val="24"/>
              </w:rPr>
            </w:pPr>
          </w:p>
        </w:tc>
        <w:tc>
          <w:tcPr>
            <w:tcW w:w="2945" w:type="pct"/>
            <w:vAlign w:val="center"/>
          </w:tcPr>
          <w:p w14:paraId="663FFEA0">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3"/>
                <w:sz w:val="24"/>
                <w:szCs w:val="24"/>
                <w:lang w:eastAsia="zh-CN"/>
              </w:rPr>
              <w:t>2、包装要求：用缠绕膜将四周及顶部缠绕牢固，破损拒收</w:t>
            </w:r>
          </w:p>
        </w:tc>
        <w:tc>
          <w:tcPr>
            <w:tcW w:w="959" w:type="pct"/>
            <w:vAlign w:val="center"/>
          </w:tcPr>
          <w:p w14:paraId="4B327499">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包装破损拒收</w:t>
            </w:r>
          </w:p>
        </w:tc>
        <w:tc>
          <w:tcPr>
            <w:tcW w:w="342" w:type="pct"/>
            <w:vAlign w:val="center"/>
          </w:tcPr>
          <w:p w14:paraId="6965E869">
            <w:pPr>
              <w:spacing w:before="100" w:beforeAutospacing="1" w:line="312" w:lineRule="auto"/>
              <w:jc w:val="center"/>
              <w:rPr>
                <w:rFonts w:ascii="仿宋" w:hAnsi="仿宋" w:eastAsia="仿宋" w:cs="仿宋"/>
                <w:sz w:val="24"/>
              </w:rPr>
            </w:pPr>
          </w:p>
        </w:tc>
      </w:tr>
    </w:tbl>
    <w:p w14:paraId="7D6D693E">
      <w:pPr>
        <w:pStyle w:val="3"/>
        <w:spacing w:before="120" w:after="156" w:afterLines="50" w:line="400" w:lineRule="exact"/>
        <w:ind w:left="0" w:firstLine="0"/>
        <w:jc w:val="center"/>
        <w:rPr>
          <w:rFonts w:cs="仿宋"/>
          <w:b/>
          <w:bCs/>
        </w:rPr>
      </w:pPr>
      <w:r>
        <w:rPr>
          <w:rFonts w:hint="eastAsia" w:cs="仿宋"/>
          <w:b/>
          <w:bCs/>
        </w:rPr>
        <w:drawing>
          <wp:anchor distT="0" distB="0" distL="0" distR="0" simplePos="0" relativeHeight="251659264" behindDoc="0" locked="0" layoutInCell="1" allowOverlap="1">
            <wp:simplePos x="0" y="0"/>
            <wp:positionH relativeFrom="column">
              <wp:posOffset>6663055</wp:posOffset>
            </wp:positionH>
            <wp:positionV relativeFrom="paragraph">
              <wp:posOffset>647065</wp:posOffset>
            </wp:positionV>
            <wp:extent cx="242570" cy="838200"/>
            <wp:effectExtent l="0" t="0" r="1270" b="0"/>
            <wp:wrapNone/>
            <wp:docPr id="54" name="IM 54"/>
            <wp:cNvGraphicFramePr/>
            <a:graphic xmlns:a="http://schemas.openxmlformats.org/drawingml/2006/main">
              <a:graphicData uri="http://schemas.openxmlformats.org/drawingml/2006/picture">
                <pic:pic xmlns:pic="http://schemas.openxmlformats.org/drawingml/2006/picture">
                  <pic:nvPicPr>
                    <pic:cNvPr id="54" name="IM 54"/>
                    <pic:cNvPicPr/>
                  </pic:nvPicPr>
                  <pic:blipFill>
                    <a:blip r:embed="rId6"/>
                    <a:stretch>
                      <a:fillRect/>
                    </a:stretch>
                  </pic:blipFill>
                  <pic:spPr>
                    <a:xfrm>
                      <a:off x="0" y="0"/>
                      <a:ext cx="242426" cy="838157"/>
                    </a:xfrm>
                    <a:prstGeom prst="rect">
                      <a:avLst/>
                    </a:prstGeom>
                  </pic:spPr>
                </pic:pic>
              </a:graphicData>
            </a:graphic>
          </wp:anchor>
        </w:drawing>
      </w:r>
      <w:r>
        <w:rPr>
          <w:rFonts w:hint="eastAsia" w:cs="仿宋"/>
          <w:b/>
          <w:bCs/>
        </w:rPr>
        <w:t>BOX回收清洗标准</w:t>
      </w:r>
    </w:p>
    <w:tbl>
      <w:tblPr>
        <w:tblStyle w:val="14"/>
        <w:tblW w:w="6222" w:type="pct"/>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420"/>
        <w:gridCol w:w="708"/>
        <w:gridCol w:w="5387"/>
        <w:gridCol w:w="2125"/>
        <w:gridCol w:w="708"/>
      </w:tblGrid>
      <w:tr w14:paraId="1C539AB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5" w:hRule="atLeast"/>
          <w:jc w:val="center"/>
        </w:trPr>
        <w:tc>
          <w:tcPr>
            <w:tcW w:w="686" w:type="pct"/>
            <w:vAlign w:val="center"/>
          </w:tcPr>
          <w:p w14:paraId="7E11A8F4">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名称</w:t>
            </w:r>
          </w:p>
        </w:tc>
        <w:tc>
          <w:tcPr>
            <w:tcW w:w="2945" w:type="pct"/>
            <w:gridSpan w:val="2"/>
            <w:vAlign w:val="center"/>
          </w:tcPr>
          <w:p w14:paraId="64A4EA5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检查项目</w:t>
            </w:r>
          </w:p>
        </w:tc>
        <w:tc>
          <w:tcPr>
            <w:tcW w:w="1027" w:type="pct"/>
            <w:vAlign w:val="center"/>
          </w:tcPr>
          <w:p w14:paraId="55416596">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标准</w:t>
            </w:r>
          </w:p>
        </w:tc>
        <w:tc>
          <w:tcPr>
            <w:tcW w:w="342" w:type="pct"/>
            <w:vAlign w:val="center"/>
          </w:tcPr>
          <w:p w14:paraId="2FD77F16">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b/>
                <w:bCs/>
                <w:spacing w:val="-5"/>
                <w:sz w:val="24"/>
                <w:szCs w:val="24"/>
              </w:rPr>
              <w:t>备注</w:t>
            </w:r>
          </w:p>
        </w:tc>
      </w:tr>
      <w:tr w14:paraId="156FDC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86" w:type="pct"/>
            <w:vAlign w:val="center"/>
          </w:tcPr>
          <w:p w14:paraId="03CBE676">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标签纸撕除</w:t>
            </w:r>
          </w:p>
        </w:tc>
        <w:tc>
          <w:tcPr>
            <w:tcW w:w="2945" w:type="pct"/>
            <w:gridSpan w:val="2"/>
            <w:vAlign w:val="center"/>
          </w:tcPr>
          <w:p w14:paraId="36DB6E54">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z w:val="24"/>
                <w:szCs w:val="24"/>
                <w:lang w:eastAsia="zh-CN"/>
              </w:rPr>
              <w:t>BOX</w:t>
            </w:r>
            <w:r>
              <w:rPr>
                <w:rFonts w:hint="eastAsia" w:ascii="仿宋" w:hAnsi="仿宋" w:eastAsia="仿宋" w:cs="仿宋"/>
                <w:spacing w:val="2"/>
                <w:sz w:val="24"/>
                <w:szCs w:val="24"/>
                <w:lang w:eastAsia="zh-CN"/>
              </w:rPr>
              <w:t>盒和泡棉上产品标签纸撕除干净(不含</w:t>
            </w:r>
            <w:r>
              <w:rPr>
                <w:rFonts w:hint="eastAsia" w:ascii="仿宋" w:hAnsi="仿宋" w:eastAsia="仿宋" w:cs="仿宋"/>
                <w:sz w:val="24"/>
                <w:szCs w:val="24"/>
                <w:lang w:eastAsia="zh-CN"/>
              </w:rPr>
              <w:t>BOX</w:t>
            </w:r>
            <w:r>
              <w:rPr>
                <w:rFonts w:hint="eastAsia" w:ascii="仿宋" w:hAnsi="仿宋" w:eastAsia="仿宋" w:cs="仿宋"/>
                <w:spacing w:val="2"/>
                <w:sz w:val="24"/>
                <w:szCs w:val="24"/>
                <w:lang w:eastAsia="zh-CN"/>
              </w:rPr>
              <w:t>盒标</w:t>
            </w:r>
            <w:r>
              <w:rPr>
                <w:rFonts w:hint="eastAsia" w:ascii="仿宋" w:hAnsi="仿宋" w:eastAsia="仿宋" w:cs="仿宋"/>
                <w:spacing w:val="1"/>
                <w:sz w:val="24"/>
                <w:szCs w:val="24"/>
                <w:lang w:eastAsia="zh-CN"/>
              </w:rPr>
              <w:t>签)</w:t>
            </w:r>
          </w:p>
        </w:tc>
        <w:tc>
          <w:tcPr>
            <w:tcW w:w="1027" w:type="pct"/>
            <w:vAlign w:val="center"/>
          </w:tcPr>
          <w:p w14:paraId="64A18274">
            <w:pPr>
              <w:pStyle w:val="13"/>
              <w:spacing w:before="100" w:beforeAutospacing="1" w:line="312" w:lineRule="auto"/>
              <w:ind w:right="98"/>
              <w:jc w:val="center"/>
              <w:rPr>
                <w:rFonts w:ascii="仿宋" w:hAnsi="仿宋" w:eastAsia="仿宋" w:cs="仿宋"/>
                <w:sz w:val="24"/>
                <w:szCs w:val="24"/>
                <w:lang w:eastAsia="zh-CN"/>
              </w:rPr>
            </w:pPr>
            <w:r>
              <w:rPr>
                <w:rFonts w:hint="eastAsia" w:ascii="仿宋" w:hAnsi="仿宋" w:eastAsia="仿宋" w:cs="仿宋"/>
                <w:spacing w:val="2"/>
                <w:sz w:val="24"/>
                <w:szCs w:val="24"/>
                <w:lang w:eastAsia="zh-CN"/>
              </w:rPr>
              <w:t>泡棉标签不能用刀</w:t>
            </w:r>
            <w:r>
              <w:rPr>
                <w:rFonts w:hint="eastAsia" w:ascii="仿宋" w:hAnsi="仿宋" w:eastAsia="仿宋" w:cs="仿宋"/>
                <w:sz w:val="24"/>
                <w:szCs w:val="24"/>
                <w:lang w:eastAsia="zh-CN"/>
              </w:rPr>
              <w:t xml:space="preserve"> </w:t>
            </w:r>
            <w:r>
              <w:rPr>
                <w:rFonts w:hint="eastAsia" w:ascii="仿宋" w:hAnsi="仿宋" w:eastAsia="仿宋" w:cs="仿宋"/>
                <w:spacing w:val="-1"/>
                <w:sz w:val="24"/>
                <w:szCs w:val="24"/>
                <w:lang w:eastAsia="zh-CN"/>
              </w:rPr>
              <w:t>割，不可把袋子割烂</w:t>
            </w:r>
          </w:p>
        </w:tc>
        <w:tc>
          <w:tcPr>
            <w:tcW w:w="342" w:type="pct"/>
            <w:vAlign w:val="center"/>
          </w:tcPr>
          <w:p w14:paraId="34C7BF87">
            <w:pPr>
              <w:spacing w:before="100" w:beforeAutospacing="1" w:line="312" w:lineRule="auto"/>
              <w:jc w:val="center"/>
              <w:rPr>
                <w:rFonts w:ascii="仿宋" w:hAnsi="仿宋" w:eastAsia="仿宋" w:cs="仿宋"/>
                <w:sz w:val="24"/>
              </w:rPr>
            </w:pPr>
          </w:p>
        </w:tc>
      </w:tr>
      <w:tr w14:paraId="33513B0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86" w:type="pct"/>
            <w:vAlign w:val="center"/>
          </w:tcPr>
          <w:p w14:paraId="70F1F428">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脏污、异物</w:t>
            </w:r>
          </w:p>
        </w:tc>
        <w:tc>
          <w:tcPr>
            <w:tcW w:w="2945" w:type="pct"/>
            <w:gridSpan w:val="2"/>
            <w:vAlign w:val="center"/>
          </w:tcPr>
          <w:p w14:paraId="423F962D">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所有部位的脏污和异物</w:t>
            </w:r>
          </w:p>
        </w:tc>
        <w:tc>
          <w:tcPr>
            <w:tcW w:w="1027" w:type="pct"/>
            <w:vAlign w:val="center"/>
          </w:tcPr>
          <w:p w14:paraId="40C9AC84">
            <w:pPr>
              <w:pStyle w:val="13"/>
              <w:spacing w:before="100" w:beforeAutospacing="1" w:line="312" w:lineRule="auto"/>
              <w:ind w:right="188"/>
              <w:jc w:val="center"/>
              <w:rPr>
                <w:rFonts w:ascii="仿宋" w:hAnsi="仿宋" w:eastAsia="仿宋" w:cs="仿宋"/>
                <w:sz w:val="24"/>
                <w:szCs w:val="24"/>
                <w:lang w:eastAsia="zh-CN"/>
              </w:rPr>
            </w:pPr>
            <w:r>
              <w:rPr>
                <w:rFonts w:hint="eastAsia" w:ascii="仿宋" w:hAnsi="仿宋" w:eastAsia="仿宋" w:cs="仿宋"/>
                <w:spacing w:val="-2"/>
                <w:sz w:val="24"/>
                <w:szCs w:val="24"/>
                <w:lang w:eastAsia="zh-CN"/>
              </w:rPr>
              <w:t>无尘布擦拭检查上</w:t>
            </w:r>
            <w:r>
              <w:rPr>
                <w:rFonts w:hint="eastAsia" w:ascii="仿宋" w:hAnsi="仿宋" w:eastAsia="仿宋" w:cs="仿宋"/>
                <w:spacing w:val="6"/>
                <w:sz w:val="24"/>
                <w:szCs w:val="24"/>
                <w:lang w:eastAsia="zh-CN"/>
              </w:rPr>
              <w:t xml:space="preserve"> </w:t>
            </w:r>
            <w:r>
              <w:rPr>
                <w:rFonts w:hint="eastAsia" w:ascii="仿宋" w:hAnsi="仿宋" w:eastAsia="仿宋" w:cs="仿宋"/>
                <w:spacing w:val="-2"/>
                <w:sz w:val="24"/>
                <w:szCs w:val="24"/>
                <w:lang w:eastAsia="zh-CN"/>
              </w:rPr>
              <w:t>面不可有脏污</w:t>
            </w:r>
          </w:p>
        </w:tc>
        <w:tc>
          <w:tcPr>
            <w:tcW w:w="342" w:type="pct"/>
            <w:vAlign w:val="center"/>
          </w:tcPr>
          <w:p w14:paraId="0B42D105">
            <w:pPr>
              <w:spacing w:before="100" w:beforeAutospacing="1" w:line="312" w:lineRule="auto"/>
              <w:jc w:val="center"/>
              <w:rPr>
                <w:rFonts w:ascii="仿宋" w:hAnsi="仿宋" w:eastAsia="仿宋" w:cs="仿宋"/>
                <w:sz w:val="24"/>
              </w:rPr>
            </w:pPr>
          </w:p>
        </w:tc>
      </w:tr>
      <w:tr w14:paraId="64128DC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686" w:type="pct"/>
            <w:vAlign w:val="center"/>
          </w:tcPr>
          <w:p w14:paraId="5AE6160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破损</w:t>
            </w:r>
          </w:p>
        </w:tc>
        <w:tc>
          <w:tcPr>
            <w:tcW w:w="2945" w:type="pct"/>
            <w:gridSpan w:val="2"/>
            <w:vAlign w:val="center"/>
          </w:tcPr>
          <w:p w14:paraId="2365E1A9">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破损的盒子单独放一起</w:t>
            </w:r>
          </w:p>
        </w:tc>
        <w:tc>
          <w:tcPr>
            <w:tcW w:w="1027" w:type="pct"/>
            <w:vAlign w:val="center"/>
          </w:tcPr>
          <w:p w14:paraId="3B0FAF1E">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贴上标识</w:t>
            </w:r>
          </w:p>
        </w:tc>
        <w:tc>
          <w:tcPr>
            <w:tcW w:w="342" w:type="pct"/>
            <w:vAlign w:val="center"/>
          </w:tcPr>
          <w:p w14:paraId="58842181">
            <w:pPr>
              <w:spacing w:before="100" w:beforeAutospacing="1" w:line="312" w:lineRule="auto"/>
              <w:jc w:val="center"/>
              <w:rPr>
                <w:rFonts w:ascii="仿宋" w:hAnsi="仿宋" w:eastAsia="仿宋" w:cs="仿宋"/>
                <w:sz w:val="24"/>
              </w:rPr>
            </w:pPr>
          </w:p>
        </w:tc>
      </w:tr>
      <w:tr w14:paraId="5BD33BD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686" w:type="pct"/>
            <w:vAlign w:val="center"/>
          </w:tcPr>
          <w:p w14:paraId="4EB01B1D">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配件</w:t>
            </w:r>
          </w:p>
        </w:tc>
        <w:tc>
          <w:tcPr>
            <w:tcW w:w="2945" w:type="pct"/>
            <w:gridSpan w:val="2"/>
            <w:vAlign w:val="center"/>
          </w:tcPr>
          <w:p w14:paraId="4658D2E6">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密封圈、挡板、卡扣、螺丝</w:t>
            </w:r>
          </w:p>
        </w:tc>
        <w:tc>
          <w:tcPr>
            <w:tcW w:w="1027" w:type="pct"/>
            <w:vAlign w:val="center"/>
          </w:tcPr>
          <w:p w14:paraId="5BF1598A">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不可缺少</w:t>
            </w:r>
          </w:p>
        </w:tc>
        <w:tc>
          <w:tcPr>
            <w:tcW w:w="342" w:type="pct"/>
            <w:vAlign w:val="center"/>
          </w:tcPr>
          <w:p w14:paraId="22F36606">
            <w:pPr>
              <w:spacing w:before="100" w:beforeAutospacing="1" w:line="312" w:lineRule="auto"/>
              <w:jc w:val="center"/>
              <w:rPr>
                <w:rFonts w:ascii="仿宋" w:hAnsi="仿宋" w:eastAsia="仿宋" w:cs="仿宋"/>
                <w:sz w:val="24"/>
              </w:rPr>
            </w:pPr>
          </w:p>
        </w:tc>
      </w:tr>
      <w:tr w14:paraId="7D5841C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299" w:hRule="atLeast"/>
          <w:jc w:val="center"/>
        </w:trPr>
        <w:tc>
          <w:tcPr>
            <w:tcW w:w="686" w:type="pct"/>
            <w:vAlign w:val="center"/>
          </w:tcPr>
          <w:p w14:paraId="5F2A7015">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5"/>
                <w:sz w:val="24"/>
                <w:szCs w:val="24"/>
              </w:rPr>
              <w:t>洁净度</w:t>
            </w:r>
          </w:p>
        </w:tc>
        <w:tc>
          <w:tcPr>
            <w:tcW w:w="2945" w:type="pct"/>
            <w:gridSpan w:val="2"/>
            <w:vAlign w:val="center"/>
          </w:tcPr>
          <w:p w14:paraId="2B78B80A">
            <w:pPr>
              <w:pStyle w:val="13"/>
              <w:spacing w:before="100" w:beforeAutospacing="1" w:line="312" w:lineRule="auto"/>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洁净度达到无尘室要求(0.3</w:t>
            </w:r>
            <w:r>
              <w:rPr>
                <w:rFonts w:hint="eastAsia" w:ascii="仿宋" w:hAnsi="仿宋" w:eastAsia="仿宋" w:cs="仿宋"/>
                <w:spacing w:val="1"/>
                <w:sz w:val="24"/>
                <w:szCs w:val="24"/>
              </w:rPr>
              <w:t>μ</w:t>
            </w:r>
            <w:r>
              <w:rPr>
                <w:rFonts w:hint="eastAsia" w:ascii="仿宋" w:hAnsi="仿宋" w:eastAsia="仿宋" w:cs="仿宋"/>
                <w:spacing w:val="1"/>
                <w:sz w:val="24"/>
                <w:szCs w:val="24"/>
                <w:lang w:eastAsia="zh-CN"/>
              </w:rPr>
              <w:t xml:space="preserve"> m≤500,0.5</w:t>
            </w:r>
            <w:r>
              <w:rPr>
                <w:rFonts w:hint="eastAsia" w:ascii="仿宋" w:hAnsi="仿宋" w:eastAsia="仿宋" w:cs="仿宋"/>
                <w:spacing w:val="1"/>
                <w:sz w:val="24"/>
                <w:szCs w:val="24"/>
              </w:rPr>
              <w:t>μ</w:t>
            </w:r>
            <w:r>
              <w:rPr>
                <w:rFonts w:hint="eastAsia" w:ascii="仿宋" w:hAnsi="仿宋" w:eastAsia="仿宋" w:cs="仿宋"/>
                <w:spacing w:val="1"/>
                <w:sz w:val="24"/>
                <w:szCs w:val="24"/>
                <w:lang w:eastAsia="zh-CN"/>
              </w:rPr>
              <w:t xml:space="preserve"> m≤500,5.</w:t>
            </w:r>
            <w:r>
              <w:rPr>
                <w:rFonts w:hint="eastAsia" w:ascii="仿宋" w:hAnsi="仿宋" w:eastAsia="仿宋" w:cs="仿宋"/>
                <w:sz w:val="24"/>
                <w:szCs w:val="24"/>
                <w:lang w:eastAsia="zh-CN"/>
              </w:rPr>
              <w:t>0</w:t>
            </w:r>
            <w:r>
              <w:rPr>
                <w:rFonts w:hint="eastAsia" w:ascii="仿宋" w:hAnsi="仿宋" w:eastAsia="仿宋" w:cs="仿宋"/>
                <w:sz w:val="24"/>
                <w:szCs w:val="24"/>
              </w:rPr>
              <w:t>μ</w:t>
            </w:r>
            <w:r>
              <w:rPr>
                <w:rFonts w:hint="eastAsia" w:ascii="仿宋" w:hAnsi="仿宋" w:eastAsia="仿宋" w:cs="仿宋"/>
                <w:sz w:val="24"/>
                <w:szCs w:val="24"/>
                <w:lang w:eastAsia="zh-CN"/>
              </w:rPr>
              <w:t xml:space="preserve"> m≤50)</w:t>
            </w:r>
          </w:p>
        </w:tc>
        <w:tc>
          <w:tcPr>
            <w:tcW w:w="1027" w:type="pct"/>
            <w:vAlign w:val="center"/>
          </w:tcPr>
          <w:p w14:paraId="0E0025E9">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2"/>
                <w:sz w:val="24"/>
                <w:szCs w:val="24"/>
              </w:rPr>
              <w:t>符合无尘室要求</w:t>
            </w:r>
          </w:p>
        </w:tc>
        <w:tc>
          <w:tcPr>
            <w:tcW w:w="342" w:type="pct"/>
            <w:vAlign w:val="center"/>
          </w:tcPr>
          <w:p w14:paraId="6D69CB6B">
            <w:pPr>
              <w:spacing w:before="100" w:beforeAutospacing="1" w:line="312" w:lineRule="auto"/>
              <w:jc w:val="center"/>
              <w:rPr>
                <w:rFonts w:ascii="仿宋" w:hAnsi="仿宋" w:eastAsia="仿宋" w:cs="仿宋"/>
                <w:sz w:val="24"/>
              </w:rPr>
            </w:pPr>
          </w:p>
        </w:tc>
      </w:tr>
      <w:tr w14:paraId="754E403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9" w:hRule="atLeast"/>
          <w:jc w:val="center"/>
        </w:trPr>
        <w:tc>
          <w:tcPr>
            <w:tcW w:w="686" w:type="pct"/>
            <w:vMerge w:val="restart"/>
            <w:tcBorders>
              <w:bottom w:val="nil"/>
            </w:tcBorders>
            <w:vAlign w:val="center"/>
          </w:tcPr>
          <w:p w14:paraId="3AFE7318">
            <w:pPr>
              <w:pStyle w:val="13"/>
              <w:spacing w:before="100" w:beforeAutospacing="1" w:line="312" w:lineRule="auto"/>
              <w:jc w:val="center"/>
              <w:rPr>
                <w:rFonts w:ascii="仿宋" w:hAnsi="仿宋" w:eastAsia="仿宋" w:cs="仿宋"/>
                <w:sz w:val="24"/>
                <w:szCs w:val="24"/>
              </w:rPr>
            </w:pPr>
            <w:r>
              <w:rPr>
                <w:rFonts w:hint="eastAsia" w:ascii="仿宋" w:hAnsi="仿宋" w:eastAsia="仿宋" w:cs="仿宋"/>
                <w:spacing w:val="-4"/>
                <w:sz w:val="24"/>
                <w:szCs w:val="24"/>
              </w:rPr>
              <w:t>包装方式</w:t>
            </w:r>
          </w:p>
        </w:tc>
        <w:tc>
          <w:tcPr>
            <w:tcW w:w="342" w:type="pct"/>
            <w:vMerge w:val="restart"/>
            <w:tcBorders>
              <w:bottom w:val="nil"/>
            </w:tcBorders>
            <w:vAlign w:val="center"/>
          </w:tcPr>
          <w:p w14:paraId="328885C2">
            <w:pPr>
              <w:pStyle w:val="13"/>
              <w:spacing w:before="100" w:beforeAutospacing="1" w:line="312" w:lineRule="auto"/>
              <w:ind w:right="110"/>
              <w:jc w:val="center"/>
              <w:rPr>
                <w:rFonts w:ascii="仿宋" w:hAnsi="仿宋" w:eastAsia="仿宋" w:cs="仿宋"/>
                <w:sz w:val="24"/>
                <w:szCs w:val="24"/>
              </w:rPr>
            </w:pPr>
            <w:r>
              <w:rPr>
                <w:rFonts w:hint="eastAsia" w:ascii="仿宋" w:hAnsi="仿宋" w:eastAsia="仿宋" w:cs="仿宋"/>
                <w:spacing w:val="-2"/>
                <w:sz w:val="24"/>
                <w:szCs w:val="24"/>
              </w:rPr>
              <w:t>B0</w:t>
            </w:r>
            <w:r>
              <w:rPr>
                <w:rFonts w:hint="eastAsia" w:ascii="仿宋" w:hAnsi="仿宋" w:eastAsia="仿宋" w:cs="仿宋"/>
                <w:sz w:val="24"/>
                <w:szCs w:val="24"/>
              </w:rPr>
              <w:t>X</w:t>
            </w:r>
          </w:p>
        </w:tc>
        <w:tc>
          <w:tcPr>
            <w:tcW w:w="2603" w:type="pct"/>
            <w:vAlign w:val="center"/>
          </w:tcPr>
          <w:p w14:paraId="67E57895">
            <w:pPr>
              <w:pStyle w:val="13"/>
              <w:spacing w:before="100" w:beforeAutospacing="1" w:line="312" w:lineRule="auto"/>
              <w:ind w:left="72" w:right="451" w:firstLine="29"/>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19寸：卡板+缠绕膜要牢固顶部用纸皮(四周加顶部),不可日</w:t>
            </w:r>
            <w:r>
              <w:rPr>
                <w:rFonts w:hint="eastAsia" w:ascii="仿宋" w:hAnsi="仿宋" w:eastAsia="仿宋" w:cs="仿宋"/>
                <w:spacing w:val="3"/>
                <w:sz w:val="24"/>
                <w:szCs w:val="24"/>
                <w:lang w:eastAsia="zh-CN"/>
              </w:rPr>
              <w:t xml:space="preserve"> </w:t>
            </w:r>
            <w:r>
              <w:rPr>
                <w:rFonts w:hint="eastAsia" w:ascii="仿宋" w:hAnsi="仿宋" w:eastAsia="仿宋" w:cs="仿宋"/>
                <w:spacing w:val="-1"/>
                <w:sz w:val="24"/>
                <w:szCs w:val="24"/>
                <w:lang w:eastAsia="zh-CN"/>
              </w:rPr>
              <w:t>晒雨淋，14个/列，4列/板，一板共56个，盒子不可超出卡板</w:t>
            </w:r>
          </w:p>
        </w:tc>
        <w:tc>
          <w:tcPr>
            <w:tcW w:w="1027" w:type="pct"/>
            <w:vMerge w:val="restart"/>
            <w:tcBorders>
              <w:bottom w:val="nil"/>
            </w:tcBorders>
            <w:vAlign w:val="center"/>
          </w:tcPr>
          <w:p w14:paraId="678627F7">
            <w:pPr>
              <w:pStyle w:val="13"/>
              <w:spacing w:before="100" w:beforeAutospacing="1" w:line="312" w:lineRule="auto"/>
              <w:ind w:right="187"/>
              <w:jc w:val="center"/>
              <w:rPr>
                <w:rFonts w:ascii="仿宋" w:hAnsi="仿宋" w:eastAsia="仿宋" w:cs="仿宋"/>
                <w:spacing w:val="-1"/>
                <w:sz w:val="24"/>
                <w:szCs w:val="24"/>
                <w:lang w:eastAsia="zh-CN"/>
              </w:rPr>
            </w:pPr>
          </w:p>
          <w:p w14:paraId="47F7BDF8">
            <w:pPr>
              <w:pStyle w:val="13"/>
              <w:spacing w:before="100" w:beforeAutospacing="1" w:line="312" w:lineRule="auto"/>
              <w:ind w:right="187"/>
              <w:jc w:val="center"/>
              <w:rPr>
                <w:rFonts w:ascii="仿宋" w:hAnsi="仿宋" w:eastAsia="仿宋" w:cs="仿宋"/>
                <w:spacing w:val="-1"/>
                <w:sz w:val="24"/>
                <w:szCs w:val="24"/>
                <w:lang w:eastAsia="zh-CN"/>
              </w:rPr>
            </w:pPr>
          </w:p>
          <w:p w14:paraId="2633B670">
            <w:pPr>
              <w:pStyle w:val="13"/>
              <w:spacing w:before="100" w:beforeAutospacing="1" w:line="312" w:lineRule="auto"/>
              <w:ind w:right="187"/>
              <w:jc w:val="center"/>
              <w:rPr>
                <w:rFonts w:ascii="仿宋" w:hAnsi="仿宋" w:eastAsia="仿宋" w:cs="仿宋"/>
                <w:spacing w:val="-1"/>
                <w:sz w:val="24"/>
                <w:szCs w:val="24"/>
                <w:lang w:eastAsia="zh-CN"/>
              </w:rPr>
            </w:pPr>
          </w:p>
          <w:p w14:paraId="2E69381F">
            <w:pPr>
              <w:pStyle w:val="13"/>
              <w:spacing w:before="100" w:beforeAutospacing="1" w:line="312" w:lineRule="auto"/>
              <w:ind w:right="187"/>
              <w:jc w:val="center"/>
              <w:rPr>
                <w:rFonts w:ascii="仿宋" w:hAnsi="仿宋" w:eastAsia="仿宋" w:cs="仿宋"/>
                <w:spacing w:val="-1"/>
                <w:sz w:val="24"/>
                <w:szCs w:val="24"/>
                <w:lang w:eastAsia="zh-CN"/>
              </w:rPr>
            </w:pPr>
          </w:p>
          <w:p w14:paraId="3CD965F5">
            <w:pPr>
              <w:pStyle w:val="13"/>
              <w:spacing w:before="100" w:beforeAutospacing="1" w:line="312" w:lineRule="auto"/>
              <w:ind w:right="187"/>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顶部和四周包装要</w:t>
            </w:r>
            <w:r>
              <w:rPr>
                <w:rFonts w:hint="eastAsia" w:ascii="仿宋" w:hAnsi="仿宋" w:eastAsia="仿宋" w:cs="仿宋"/>
                <w:sz w:val="24"/>
                <w:szCs w:val="24"/>
                <w:lang w:eastAsia="zh-CN"/>
              </w:rPr>
              <w:t xml:space="preserve"> </w:t>
            </w:r>
            <w:r>
              <w:rPr>
                <w:rFonts w:hint="eastAsia" w:ascii="仿宋" w:hAnsi="仿宋" w:eastAsia="仿宋" w:cs="仿宋"/>
                <w:spacing w:val="2"/>
                <w:sz w:val="24"/>
                <w:szCs w:val="24"/>
                <w:lang w:eastAsia="zh-CN"/>
              </w:rPr>
              <w:t>牢固，缠绕膜3层</w:t>
            </w:r>
          </w:p>
        </w:tc>
        <w:tc>
          <w:tcPr>
            <w:tcW w:w="342" w:type="pct"/>
            <w:vAlign w:val="center"/>
          </w:tcPr>
          <w:p w14:paraId="1C29F809">
            <w:pPr>
              <w:spacing w:before="100" w:beforeAutospacing="1" w:line="312" w:lineRule="auto"/>
              <w:jc w:val="center"/>
              <w:rPr>
                <w:rFonts w:ascii="仿宋" w:hAnsi="仿宋" w:eastAsia="仿宋" w:cs="仿宋"/>
                <w:sz w:val="24"/>
              </w:rPr>
            </w:pPr>
          </w:p>
        </w:tc>
      </w:tr>
      <w:tr w14:paraId="213F0B2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89" w:hRule="atLeast"/>
          <w:jc w:val="center"/>
        </w:trPr>
        <w:tc>
          <w:tcPr>
            <w:tcW w:w="686" w:type="pct"/>
            <w:vMerge w:val="continue"/>
            <w:tcBorders>
              <w:top w:val="nil"/>
              <w:bottom w:val="nil"/>
            </w:tcBorders>
            <w:vAlign w:val="center"/>
          </w:tcPr>
          <w:p w14:paraId="5AF9C851">
            <w:pPr>
              <w:spacing w:before="100" w:beforeAutospacing="1" w:line="312" w:lineRule="auto"/>
              <w:jc w:val="center"/>
              <w:rPr>
                <w:rFonts w:ascii="仿宋" w:hAnsi="仿宋" w:eastAsia="仿宋" w:cs="仿宋"/>
                <w:sz w:val="24"/>
              </w:rPr>
            </w:pPr>
          </w:p>
        </w:tc>
        <w:tc>
          <w:tcPr>
            <w:tcW w:w="342" w:type="pct"/>
            <w:vMerge w:val="continue"/>
            <w:tcBorders>
              <w:top w:val="nil"/>
              <w:bottom w:val="nil"/>
            </w:tcBorders>
            <w:vAlign w:val="center"/>
          </w:tcPr>
          <w:p w14:paraId="14C58A16">
            <w:pPr>
              <w:spacing w:before="100" w:beforeAutospacing="1" w:line="312" w:lineRule="auto"/>
              <w:jc w:val="center"/>
              <w:rPr>
                <w:rFonts w:ascii="仿宋" w:hAnsi="仿宋" w:eastAsia="仿宋" w:cs="仿宋"/>
                <w:sz w:val="24"/>
              </w:rPr>
            </w:pPr>
          </w:p>
        </w:tc>
        <w:tc>
          <w:tcPr>
            <w:tcW w:w="2603" w:type="pct"/>
            <w:vAlign w:val="center"/>
          </w:tcPr>
          <w:p w14:paraId="642725D0">
            <w:pPr>
              <w:pStyle w:val="13"/>
              <w:spacing w:before="100" w:beforeAutospacing="1" w:line="312" w:lineRule="auto"/>
              <w:ind w:left="74" w:right="449" w:firstLine="9"/>
              <w:jc w:val="center"/>
              <w:rPr>
                <w:rFonts w:ascii="仿宋" w:hAnsi="仿宋" w:eastAsia="仿宋" w:cs="仿宋"/>
                <w:sz w:val="24"/>
                <w:szCs w:val="24"/>
                <w:lang w:eastAsia="zh-CN"/>
              </w:rPr>
            </w:pPr>
            <w:r>
              <w:rPr>
                <w:rFonts w:hint="eastAsia" w:ascii="仿宋" w:hAnsi="仿宋" w:eastAsia="仿宋" w:cs="仿宋"/>
                <w:spacing w:val="-1"/>
                <w:sz w:val="24"/>
                <w:szCs w:val="24"/>
                <w:lang w:eastAsia="zh-CN"/>
              </w:rPr>
              <w:t>32寸：卡板+缠绕膜要牢固顶部用纸皮(四周加顶部),不</w:t>
            </w:r>
            <w:r>
              <w:rPr>
                <w:rFonts w:hint="eastAsia" w:ascii="仿宋" w:hAnsi="仿宋" w:eastAsia="仿宋" w:cs="仿宋"/>
                <w:spacing w:val="-2"/>
                <w:sz w:val="24"/>
                <w:szCs w:val="24"/>
                <w:lang w:eastAsia="zh-CN"/>
              </w:rPr>
              <w:t>可日</w:t>
            </w:r>
            <w:r>
              <w:rPr>
                <w:rFonts w:hint="eastAsia" w:ascii="仿宋" w:hAnsi="仿宋" w:eastAsia="仿宋" w:cs="仿宋"/>
                <w:sz w:val="24"/>
                <w:szCs w:val="24"/>
                <w:lang w:eastAsia="zh-CN"/>
              </w:rPr>
              <w:t xml:space="preserve">  </w:t>
            </w:r>
            <w:r>
              <w:rPr>
                <w:rFonts w:hint="eastAsia" w:ascii="仿宋" w:hAnsi="仿宋" w:eastAsia="仿宋" w:cs="仿宋"/>
                <w:spacing w:val="-3"/>
                <w:sz w:val="24"/>
                <w:szCs w:val="24"/>
                <w:lang w:eastAsia="zh-CN"/>
              </w:rPr>
              <w:t>晒雨淋，12个/列，2列/板，一板共24个，盒子不可超出卡板</w:t>
            </w:r>
          </w:p>
        </w:tc>
        <w:tc>
          <w:tcPr>
            <w:tcW w:w="1027" w:type="pct"/>
            <w:vMerge w:val="continue"/>
            <w:tcBorders>
              <w:top w:val="nil"/>
              <w:bottom w:val="nil"/>
            </w:tcBorders>
            <w:vAlign w:val="center"/>
          </w:tcPr>
          <w:p w14:paraId="0C42C5AE">
            <w:pPr>
              <w:spacing w:before="100" w:beforeAutospacing="1" w:line="312" w:lineRule="auto"/>
              <w:jc w:val="center"/>
              <w:rPr>
                <w:rFonts w:ascii="仿宋" w:hAnsi="仿宋" w:eastAsia="仿宋" w:cs="仿宋"/>
                <w:sz w:val="24"/>
              </w:rPr>
            </w:pPr>
          </w:p>
        </w:tc>
        <w:tc>
          <w:tcPr>
            <w:tcW w:w="342" w:type="pct"/>
            <w:vAlign w:val="center"/>
          </w:tcPr>
          <w:p w14:paraId="0832A209">
            <w:pPr>
              <w:spacing w:before="100" w:beforeAutospacing="1" w:line="312" w:lineRule="auto"/>
              <w:jc w:val="center"/>
              <w:rPr>
                <w:rFonts w:ascii="仿宋" w:hAnsi="仿宋" w:eastAsia="仿宋" w:cs="仿宋"/>
                <w:sz w:val="24"/>
              </w:rPr>
            </w:pPr>
          </w:p>
        </w:tc>
      </w:tr>
      <w:tr w14:paraId="7268125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609" w:hRule="atLeast"/>
          <w:jc w:val="center"/>
        </w:trPr>
        <w:tc>
          <w:tcPr>
            <w:tcW w:w="686" w:type="pct"/>
            <w:vMerge w:val="continue"/>
            <w:tcBorders>
              <w:top w:val="nil"/>
              <w:bottom w:val="nil"/>
            </w:tcBorders>
            <w:vAlign w:val="center"/>
          </w:tcPr>
          <w:p w14:paraId="3AE71E55">
            <w:pPr>
              <w:spacing w:before="100" w:beforeAutospacing="1" w:line="312" w:lineRule="auto"/>
              <w:jc w:val="center"/>
              <w:rPr>
                <w:rFonts w:ascii="仿宋" w:hAnsi="仿宋" w:eastAsia="仿宋" w:cs="仿宋"/>
                <w:sz w:val="24"/>
              </w:rPr>
            </w:pPr>
          </w:p>
        </w:tc>
        <w:tc>
          <w:tcPr>
            <w:tcW w:w="342" w:type="pct"/>
            <w:vMerge w:val="continue"/>
            <w:tcBorders>
              <w:top w:val="nil"/>
            </w:tcBorders>
            <w:vAlign w:val="center"/>
          </w:tcPr>
          <w:p w14:paraId="0F1CD845">
            <w:pPr>
              <w:spacing w:before="100" w:beforeAutospacing="1" w:line="312" w:lineRule="auto"/>
              <w:jc w:val="center"/>
              <w:rPr>
                <w:rFonts w:ascii="仿宋" w:hAnsi="仿宋" w:eastAsia="仿宋" w:cs="仿宋"/>
                <w:sz w:val="24"/>
              </w:rPr>
            </w:pPr>
          </w:p>
        </w:tc>
        <w:tc>
          <w:tcPr>
            <w:tcW w:w="2603" w:type="pct"/>
            <w:vAlign w:val="center"/>
          </w:tcPr>
          <w:p w14:paraId="6DB6B6A6">
            <w:pPr>
              <w:pStyle w:val="13"/>
              <w:spacing w:before="100" w:beforeAutospacing="1" w:line="312" w:lineRule="auto"/>
              <w:ind w:left="74" w:right="540"/>
              <w:jc w:val="center"/>
              <w:rPr>
                <w:rFonts w:ascii="仿宋" w:hAnsi="仿宋" w:eastAsia="仿宋" w:cs="仿宋"/>
                <w:sz w:val="24"/>
                <w:szCs w:val="24"/>
                <w:lang w:eastAsia="zh-CN"/>
              </w:rPr>
            </w:pPr>
            <w:r>
              <w:rPr>
                <w:rFonts w:hint="eastAsia" w:ascii="仿宋" w:hAnsi="仿宋" w:eastAsia="仿宋" w:cs="仿宋"/>
                <w:spacing w:val="-3"/>
                <w:sz w:val="24"/>
                <w:szCs w:val="24"/>
                <w:lang w:eastAsia="zh-CN"/>
              </w:rPr>
              <w:t>32寸以上：卡板+缠绕膜要牢固顶部用纸皮(四周加顶部),不</w:t>
            </w:r>
            <w:r>
              <w:rPr>
                <w:rFonts w:hint="eastAsia" w:ascii="仿宋" w:hAnsi="仿宋" w:eastAsia="仿宋" w:cs="仿宋"/>
                <w:spacing w:val="16"/>
                <w:sz w:val="24"/>
                <w:szCs w:val="24"/>
                <w:lang w:eastAsia="zh-CN"/>
              </w:rPr>
              <w:t xml:space="preserve"> </w:t>
            </w:r>
            <w:r>
              <w:rPr>
                <w:rFonts w:hint="eastAsia" w:ascii="仿宋" w:hAnsi="仿宋" w:eastAsia="仿宋" w:cs="仿宋"/>
                <w:spacing w:val="-3"/>
                <w:sz w:val="24"/>
                <w:szCs w:val="24"/>
                <w:lang w:eastAsia="zh-CN"/>
              </w:rPr>
              <w:t>可日晒雨淋，11个/列，一板共11个，盒子不可超出卡板</w:t>
            </w:r>
          </w:p>
        </w:tc>
        <w:tc>
          <w:tcPr>
            <w:tcW w:w="1027" w:type="pct"/>
            <w:vMerge w:val="continue"/>
            <w:tcBorders>
              <w:top w:val="nil"/>
              <w:bottom w:val="nil"/>
            </w:tcBorders>
            <w:vAlign w:val="center"/>
          </w:tcPr>
          <w:p w14:paraId="0B83FA82">
            <w:pPr>
              <w:spacing w:before="100" w:beforeAutospacing="1" w:line="312" w:lineRule="auto"/>
              <w:jc w:val="center"/>
              <w:rPr>
                <w:rFonts w:ascii="仿宋" w:hAnsi="仿宋" w:eastAsia="仿宋" w:cs="仿宋"/>
                <w:sz w:val="24"/>
              </w:rPr>
            </w:pPr>
          </w:p>
        </w:tc>
        <w:tc>
          <w:tcPr>
            <w:tcW w:w="342" w:type="pct"/>
            <w:vAlign w:val="center"/>
          </w:tcPr>
          <w:p w14:paraId="15E0ABB5">
            <w:pPr>
              <w:spacing w:before="100" w:beforeAutospacing="1" w:line="312" w:lineRule="auto"/>
              <w:jc w:val="center"/>
              <w:rPr>
                <w:rFonts w:ascii="仿宋" w:hAnsi="仿宋" w:eastAsia="仿宋" w:cs="仿宋"/>
                <w:sz w:val="24"/>
              </w:rPr>
            </w:pPr>
          </w:p>
        </w:tc>
      </w:tr>
      <w:tr w14:paraId="6335E914">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594" w:hRule="atLeast"/>
          <w:jc w:val="center"/>
        </w:trPr>
        <w:tc>
          <w:tcPr>
            <w:tcW w:w="686" w:type="pct"/>
            <w:vMerge w:val="continue"/>
            <w:tcBorders>
              <w:top w:val="nil"/>
            </w:tcBorders>
            <w:vAlign w:val="center"/>
          </w:tcPr>
          <w:p w14:paraId="736D64F2">
            <w:pPr>
              <w:spacing w:before="100" w:beforeAutospacing="1" w:line="312" w:lineRule="auto"/>
              <w:jc w:val="center"/>
              <w:rPr>
                <w:rFonts w:ascii="仿宋" w:hAnsi="仿宋" w:eastAsia="仿宋" w:cs="仿宋"/>
                <w:sz w:val="24"/>
              </w:rPr>
            </w:pPr>
          </w:p>
        </w:tc>
        <w:tc>
          <w:tcPr>
            <w:tcW w:w="2945" w:type="pct"/>
            <w:gridSpan w:val="2"/>
            <w:vAlign w:val="center"/>
          </w:tcPr>
          <w:p w14:paraId="6C22039D">
            <w:pPr>
              <w:pStyle w:val="13"/>
              <w:spacing w:before="100" w:beforeAutospacing="1" w:line="312" w:lineRule="auto"/>
              <w:ind w:right="182"/>
              <w:jc w:val="center"/>
              <w:rPr>
                <w:rFonts w:ascii="仿宋" w:hAnsi="仿宋" w:eastAsia="仿宋" w:cs="仿宋"/>
                <w:sz w:val="24"/>
                <w:szCs w:val="24"/>
                <w:lang w:eastAsia="zh-CN"/>
              </w:rPr>
            </w:pPr>
            <w:r>
              <w:rPr>
                <w:rFonts w:hint="eastAsia" w:ascii="仿宋" w:hAnsi="仿宋" w:eastAsia="仿宋" w:cs="仿宋"/>
                <w:spacing w:val="-2"/>
                <w:sz w:val="24"/>
                <w:szCs w:val="24"/>
                <w:lang w:eastAsia="zh-CN"/>
              </w:rPr>
              <w:t>蓝色、红色挡块BOX盒分开放，泡棉按规格区</w:t>
            </w:r>
            <w:r>
              <w:rPr>
                <w:rFonts w:hint="eastAsia" w:ascii="仿宋" w:hAnsi="仿宋" w:eastAsia="仿宋" w:cs="仿宋"/>
                <w:spacing w:val="-3"/>
                <w:sz w:val="24"/>
                <w:szCs w:val="24"/>
                <w:lang w:eastAsia="zh-CN"/>
              </w:rPr>
              <w:t>分打包跟车返回，泡棉</w:t>
            </w:r>
            <w:r>
              <w:rPr>
                <w:rFonts w:hint="eastAsia" w:ascii="仿宋" w:hAnsi="仿宋" w:eastAsia="仿宋" w:cs="仿宋"/>
                <w:sz w:val="24"/>
                <w:szCs w:val="24"/>
                <w:lang w:eastAsia="zh-CN"/>
              </w:rPr>
              <w:t xml:space="preserve"> 包装要牢固</w:t>
            </w:r>
          </w:p>
        </w:tc>
        <w:tc>
          <w:tcPr>
            <w:tcW w:w="1027" w:type="pct"/>
            <w:vMerge w:val="continue"/>
            <w:tcBorders>
              <w:top w:val="nil"/>
            </w:tcBorders>
            <w:vAlign w:val="center"/>
          </w:tcPr>
          <w:p w14:paraId="2AA2358E">
            <w:pPr>
              <w:spacing w:before="100" w:beforeAutospacing="1" w:line="312" w:lineRule="auto"/>
              <w:jc w:val="center"/>
              <w:rPr>
                <w:rFonts w:ascii="仿宋" w:hAnsi="仿宋" w:eastAsia="仿宋" w:cs="仿宋"/>
                <w:sz w:val="24"/>
              </w:rPr>
            </w:pPr>
          </w:p>
        </w:tc>
        <w:tc>
          <w:tcPr>
            <w:tcW w:w="342" w:type="pct"/>
            <w:vAlign w:val="center"/>
          </w:tcPr>
          <w:p w14:paraId="51E07343">
            <w:pPr>
              <w:spacing w:before="100" w:beforeAutospacing="1" w:line="312" w:lineRule="auto"/>
              <w:jc w:val="center"/>
              <w:rPr>
                <w:rFonts w:ascii="仿宋" w:hAnsi="仿宋" w:eastAsia="仿宋" w:cs="仿宋"/>
                <w:sz w:val="24"/>
              </w:rPr>
            </w:pPr>
          </w:p>
        </w:tc>
      </w:tr>
    </w:tbl>
    <w:p w14:paraId="179F72D1">
      <w:pPr>
        <w:spacing w:before="156" w:beforeLines="50" w:line="14" w:lineRule="exact"/>
        <w:rPr>
          <w:rFonts w:hint="eastAsia" w:ascii="仿宋" w:hAnsi="仿宋" w:eastAsia="仿宋" w:cs="仿宋"/>
          <w:sz w:val="24"/>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74FDA1F">
    <w:pPr>
      <w:pStyle w:val="6"/>
      <w:rPr>
        <w:rFonts w:hint="eastAsia"/>
      </w:rPr>
    </w:pPr>
    <w:r>
      <w:rPr>
        <w:rFonts w:hint="eastAsia"/>
      </w:rPr>
      <w:t>深圳市盛波光电科技有限公司</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7A44"/>
    <w:rsid w:val="000163C5"/>
    <w:rsid w:val="0002183E"/>
    <w:rsid w:val="00045272"/>
    <w:rsid w:val="000634A5"/>
    <w:rsid w:val="00086305"/>
    <w:rsid w:val="000B0BB1"/>
    <w:rsid w:val="000B0CC9"/>
    <w:rsid w:val="000B1144"/>
    <w:rsid w:val="001048E1"/>
    <w:rsid w:val="00117A53"/>
    <w:rsid w:val="00131C2F"/>
    <w:rsid w:val="0013409C"/>
    <w:rsid w:val="00134F92"/>
    <w:rsid w:val="00161CBB"/>
    <w:rsid w:val="001D3E2D"/>
    <w:rsid w:val="001D56FF"/>
    <w:rsid w:val="001E0161"/>
    <w:rsid w:val="00234253"/>
    <w:rsid w:val="0025447C"/>
    <w:rsid w:val="00256A51"/>
    <w:rsid w:val="002661A8"/>
    <w:rsid w:val="0029322C"/>
    <w:rsid w:val="002B28CB"/>
    <w:rsid w:val="002B77DC"/>
    <w:rsid w:val="002C6823"/>
    <w:rsid w:val="002E2DAF"/>
    <w:rsid w:val="002E7ABC"/>
    <w:rsid w:val="00305A5D"/>
    <w:rsid w:val="00317D85"/>
    <w:rsid w:val="00330E77"/>
    <w:rsid w:val="00333D1C"/>
    <w:rsid w:val="0033560D"/>
    <w:rsid w:val="0033715A"/>
    <w:rsid w:val="00337511"/>
    <w:rsid w:val="00386799"/>
    <w:rsid w:val="00387684"/>
    <w:rsid w:val="00392924"/>
    <w:rsid w:val="003B2880"/>
    <w:rsid w:val="003B34E1"/>
    <w:rsid w:val="003C17C2"/>
    <w:rsid w:val="003D75DC"/>
    <w:rsid w:val="003E38D8"/>
    <w:rsid w:val="00404AD5"/>
    <w:rsid w:val="00423E49"/>
    <w:rsid w:val="00466A88"/>
    <w:rsid w:val="00483FF6"/>
    <w:rsid w:val="0049062A"/>
    <w:rsid w:val="00492947"/>
    <w:rsid w:val="004C21D4"/>
    <w:rsid w:val="004D0338"/>
    <w:rsid w:val="004D72FE"/>
    <w:rsid w:val="004F54DE"/>
    <w:rsid w:val="005173FE"/>
    <w:rsid w:val="00545A95"/>
    <w:rsid w:val="00554A93"/>
    <w:rsid w:val="005604E0"/>
    <w:rsid w:val="00571122"/>
    <w:rsid w:val="0057745B"/>
    <w:rsid w:val="00584598"/>
    <w:rsid w:val="0058764A"/>
    <w:rsid w:val="005B3BF7"/>
    <w:rsid w:val="005B5B4A"/>
    <w:rsid w:val="005C7141"/>
    <w:rsid w:val="005D31AB"/>
    <w:rsid w:val="005E79A3"/>
    <w:rsid w:val="005F04FE"/>
    <w:rsid w:val="005F798D"/>
    <w:rsid w:val="006154D6"/>
    <w:rsid w:val="006222E0"/>
    <w:rsid w:val="006233A8"/>
    <w:rsid w:val="0063241B"/>
    <w:rsid w:val="00632E3F"/>
    <w:rsid w:val="00637DC5"/>
    <w:rsid w:val="00645EFC"/>
    <w:rsid w:val="006461BA"/>
    <w:rsid w:val="00646D16"/>
    <w:rsid w:val="006845F6"/>
    <w:rsid w:val="006845FF"/>
    <w:rsid w:val="006937B4"/>
    <w:rsid w:val="0069735F"/>
    <w:rsid w:val="00697DB9"/>
    <w:rsid w:val="006A7FF6"/>
    <w:rsid w:val="006B341A"/>
    <w:rsid w:val="006D3266"/>
    <w:rsid w:val="006D6D4B"/>
    <w:rsid w:val="00702FDB"/>
    <w:rsid w:val="00713FB8"/>
    <w:rsid w:val="00741D6C"/>
    <w:rsid w:val="0074626D"/>
    <w:rsid w:val="007635D0"/>
    <w:rsid w:val="0078029F"/>
    <w:rsid w:val="007A2282"/>
    <w:rsid w:val="007B282F"/>
    <w:rsid w:val="007D579E"/>
    <w:rsid w:val="007E33CD"/>
    <w:rsid w:val="00814B25"/>
    <w:rsid w:val="008233A4"/>
    <w:rsid w:val="00832DA3"/>
    <w:rsid w:val="008436C6"/>
    <w:rsid w:val="00847429"/>
    <w:rsid w:val="00857A44"/>
    <w:rsid w:val="00861173"/>
    <w:rsid w:val="008773BC"/>
    <w:rsid w:val="0088225E"/>
    <w:rsid w:val="00886528"/>
    <w:rsid w:val="008901D3"/>
    <w:rsid w:val="008A55DB"/>
    <w:rsid w:val="008C58E6"/>
    <w:rsid w:val="008D7E04"/>
    <w:rsid w:val="009527D7"/>
    <w:rsid w:val="00985505"/>
    <w:rsid w:val="009A4AD5"/>
    <w:rsid w:val="009A699C"/>
    <w:rsid w:val="009B025A"/>
    <w:rsid w:val="009C5DE3"/>
    <w:rsid w:val="009D530E"/>
    <w:rsid w:val="009D75A7"/>
    <w:rsid w:val="009D7C80"/>
    <w:rsid w:val="00A121E6"/>
    <w:rsid w:val="00A36F21"/>
    <w:rsid w:val="00A92207"/>
    <w:rsid w:val="00AA79C4"/>
    <w:rsid w:val="00AE1A5B"/>
    <w:rsid w:val="00AF6651"/>
    <w:rsid w:val="00B01475"/>
    <w:rsid w:val="00B03BB0"/>
    <w:rsid w:val="00B12443"/>
    <w:rsid w:val="00B3403A"/>
    <w:rsid w:val="00B37DA6"/>
    <w:rsid w:val="00B447D1"/>
    <w:rsid w:val="00B5018C"/>
    <w:rsid w:val="00B5556E"/>
    <w:rsid w:val="00B5581F"/>
    <w:rsid w:val="00B83C04"/>
    <w:rsid w:val="00B930AC"/>
    <w:rsid w:val="00BC0F65"/>
    <w:rsid w:val="00BC7703"/>
    <w:rsid w:val="00BF5F87"/>
    <w:rsid w:val="00BF6CA2"/>
    <w:rsid w:val="00C02125"/>
    <w:rsid w:val="00C02C10"/>
    <w:rsid w:val="00C056A0"/>
    <w:rsid w:val="00C06D97"/>
    <w:rsid w:val="00C205B2"/>
    <w:rsid w:val="00C63DB5"/>
    <w:rsid w:val="00C82721"/>
    <w:rsid w:val="00C85760"/>
    <w:rsid w:val="00C86A62"/>
    <w:rsid w:val="00C973CD"/>
    <w:rsid w:val="00CA4E7A"/>
    <w:rsid w:val="00CA709D"/>
    <w:rsid w:val="00CB3367"/>
    <w:rsid w:val="00D027C9"/>
    <w:rsid w:val="00D17910"/>
    <w:rsid w:val="00D2241F"/>
    <w:rsid w:val="00D44B1E"/>
    <w:rsid w:val="00D73576"/>
    <w:rsid w:val="00DC7211"/>
    <w:rsid w:val="00DD54FA"/>
    <w:rsid w:val="00DE1AB0"/>
    <w:rsid w:val="00E043ED"/>
    <w:rsid w:val="00E3003C"/>
    <w:rsid w:val="00E3645E"/>
    <w:rsid w:val="00E55495"/>
    <w:rsid w:val="00E743EE"/>
    <w:rsid w:val="00E86D9B"/>
    <w:rsid w:val="00EB3CC8"/>
    <w:rsid w:val="00EF1845"/>
    <w:rsid w:val="00F03B24"/>
    <w:rsid w:val="00F15781"/>
    <w:rsid w:val="00F31AB7"/>
    <w:rsid w:val="00F45535"/>
    <w:rsid w:val="00F55757"/>
    <w:rsid w:val="00F67ED7"/>
    <w:rsid w:val="00F779F8"/>
    <w:rsid w:val="00F8163D"/>
    <w:rsid w:val="00FA2992"/>
    <w:rsid w:val="00FB51AE"/>
    <w:rsid w:val="00FC0E2B"/>
    <w:rsid w:val="00FC2392"/>
    <w:rsid w:val="00FC4CF5"/>
    <w:rsid w:val="00FC63A5"/>
    <w:rsid w:val="00FD71EE"/>
    <w:rsid w:val="00FE6AE1"/>
    <w:rsid w:val="00FF515A"/>
    <w:rsid w:val="05CF2D4D"/>
    <w:rsid w:val="12EE7E97"/>
    <w:rsid w:val="1AC24E64"/>
    <w:rsid w:val="1B762CF0"/>
    <w:rsid w:val="1DA97EB8"/>
    <w:rsid w:val="26F31699"/>
    <w:rsid w:val="3F8A0D8E"/>
    <w:rsid w:val="3FF40F4C"/>
    <w:rsid w:val="40FE2CBD"/>
    <w:rsid w:val="454E7308"/>
    <w:rsid w:val="48E1539E"/>
    <w:rsid w:val="59CE3F2D"/>
    <w:rsid w:val="5D261179"/>
    <w:rsid w:val="5DAA3B58"/>
    <w:rsid w:val="61290E7B"/>
    <w:rsid w:val="792051D1"/>
    <w:rsid w:val="799534B7"/>
    <w:rsid w:val="7A610DAD"/>
    <w:rsid w:val="7B933B68"/>
    <w:rsid w:val="7ECF2FC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uiPriority="1" w:name="Default Paragraph Font"/>
    <w:lsdException w:qFormat="1" w:unhideWhenUsed="0" w:uiPriority="1" w:semiHidden="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keepNext/>
      <w:keepLines/>
      <w:spacing w:before="340" w:after="330" w:line="576" w:lineRule="auto"/>
      <w:outlineLvl w:val="0"/>
    </w:pPr>
    <w:rPr>
      <w:b/>
      <w:kern w:val="44"/>
      <w:sz w:val="44"/>
    </w:rPr>
  </w:style>
  <w:style w:type="character" w:default="1" w:styleId="9">
    <w:name w:val="Default Paragraph Font"/>
    <w:semiHidden/>
    <w:unhideWhenUsed/>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3">
    <w:name w:val="Body Text"/>
    <w:basedOn w:val="1"/>
    <w:qFormat/>
    <w:uiPriority w:val="1"/>
    <w:pPr>
      <w:spacing w:before="30"/>
      <w:ind w:left="135" w:firstLine="480"/>
    </w:pPr>
    <w:rPr>
      <w:rFonts w:ascii="仿宋" w:hAnsi="仿宋" w:eastAsia="仿宋"/>
      <w:sz w:val="24"/>
    </w:rPr>
  </w:style>
  <w:style w:type="paragraph" w:styleId="4">
    <w:name w:val="Balloon Text"/>
    <w:basedOn w:val="1"/>
    <w:link w:val="15"/>
    <w:qFormat/>
    <w:uiPriority w:val="0"/>
    <w:rPr>
      <w:sz w:val="18"/>
      <w:szCs w:val="18"/>
    </w:rPr>
  </w:style>
  <w:style w:type="paragraph" w:styleId="5">
    <w:name w:val="footer"/>
    <w:basedOn w:val="1"/>
    <w:unhideWhenUsed/>
    <w:qFormat/>
    <w:uiPriority w:val="99"/>
    <w:pPr>
      <w:tabs>
        <w:tab w:val="center" w:pos="4153"/>
        <w:tab w:val="right" w:pos="8306"/>
      </w:tabs>
      <w:snapToGrid w:val="0"/>
      <w:jc w:val="left"/>
    </w:pPr>
    <w:rPr>
      <w:sz w:val="18"/>
      <w:szCs w:val="18"/>
    </w:rPr>
  </w:style>
  <w:style w:type="paragraph" w:styleId="6">
    <w:name w:val="header"/>
    <w:basedOn w:val="1"/>
    <w:link w:val="16"/>
    <w:unhideWhenUsed/>
    <w:qFormat/>
    <w:uiPriority w:val="99"/>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spacing w:beforeAutospacing="1" w:afterAutospacing="1"/>
      <w:jc w:val="left"/>
    </w:pPr>
    <w:rPr>
      <w:rFonts w:cs="Times New Roman"/>
      <w:kern w:val="0"/>
      <w:sz w:val="24"/>
    </w:rPr>
  </w:style>
  <w:style w:type="character" w:styleId="10">
    <w:name w:val="Strong"/>
    <w:basedOn w:val="9"/>
    <w:qFormat/>
    <w:uiPriority w:val="0"/>
    <w:rPr>
      <w:b/>
    </w:rPr>
  </w:style>
  <w:style w:type="character" w:styleId="11">
    <w:name w:val="Hyperlink"/>
    <w:basedOn w:val="9"/>
    <w:qFormat/>
    <w:uiPriority w:val="0"/>
    <w:rPr>
      <w:color w:val="0000FF"/>
      <w:u w:val="single"/>
    </w:rPr>
  </w:style>
  <w:style w:type="paragraph" w:styleId="12">
    <w:name w:val="List Paragraph"/>
    <w:basedOn w:val="1"/>
    <w:qFormat/>
    <w:uiPriority w:val="34"/>
    <w:pPr>
      <w:ind w:firstLine="420" w:firstLineChars="200"/>
    </w:pPr>
  </w:style>
  <w:style w:type="paragraph" w:customStyle="1" w:styleId="13">
    <w:name w:val="Table Text"/>
    <w:basedOn w:val="1"/>
    <w:semiHidden/>
    <w:qFormat/>
    <w:uiPriority w:val="0"/>
    <w:rPr>
      <w:rFonts w:ascii="宋体" w:hAnsi="宋体" w:eastAsia="宋体" w:cs="宋体"/>
      <w:sz w:val="19"/>
      <w:szCs w:val="19"/>
      <w:lang w:eastAsia="en-US"/>
    </w:rPr>
  </w:style>
  <w:style w:type="table" w:customStyle="1" w:styleId="14">
    <w:name w:val="Table Normal"/>
    <w:semiHidden/>
    <w:unhideWhenUsed/>
    <w:qFormat/>
    <w:uiPriority w:val="0"/>
    <w:tblPr>
      <w:tblCellMar>
        <w:top w:w="0" w:type="dxa"/>
        <w:left w:w="0" w:type="dxa"/>
        <w:bottom w:w="0" w:type="dxa"/>
        <w:right w:w="0" w:type="dxa"/>
      </w:tblCellMar>
    </w:tblPr>
  </w:style>
  <w:style w:type="character" w:customStyle="1" w:styleId="15">
    <w:name w:val="批注框文本 字符"/>
    <w:basedOn w:val="9"/>
    <w:link w:val="4"/>
    <w:qFormat/>
    <w:uiPriority w:val="0"/>
    <w:rPr>
      <w:rFonts w:asciiTheme="minorHAnsi" w:hAnsiTheme="minorHAnsi" w:eastAsiaTheme="minorEastAsia" w:cstheme="minorBidi"/>
      <w:kern w:val="2"/>
      <w:sz w:val="18"/>
      <w:szCs w:val="18"/>
    </w:rPr>
  </w:style>
  <w:style w:type="character" w:customStyle="1" w:styleId="16">
    <w:name w:val="页眉 字符"/>
    <w:basedOn w:val="9"/>
    <w:link w:val="6"/>
    <w:qFormat/>
    <w:uiPriority w:val="99"/>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4</Pages>
  <Words>1867</Words>
  <Characters>2056</Characters>
  <Lines>15</Lines>
  <Paragraphs>4</Paragraphs>
  <TotalTime>271</TotalTime>
  <ScaleCrop>false</ScaleCrop>
  <LinksUpToDate>false</LinksUpToDate>
  <CharactersWithSpaces>2070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2025-12-03T02:12:00Z</dcterms:created>
  <dc:creator>LiHong</dc:creator>
  <cp:lastModifiedBy>coach</cp:lastModifiedBy>
  <cp:lastPrinted>2025-12-05T00:59:00Z</cp:lastPrinted>
  <dcterms:modified xsi:type="dcterms:W3CDTF">2026-01-05T11:29:33Z</dcterms:modified>
  <cp:revision>188</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KSOTemplateDocerSaveRecord">
    <vt:lpwstr>eyJoZGlkIjoiMzJiM2E2MGMzOGY2ZTM2ODdiNWMzMzJkNGJjMWVkMzciLCJ1c2VySWQiOiI0MTcxNzQwMDMifQ==</vt:lpwstr>
  </property>
  <property fmtid="{D5CDD505-2E9C-101B-9397-08002B2CF9AE}" pid="4" name="ICV">
    <vt:lpwstr>B177E2C9856748A9B5525CAFEE528095_13</vt:lpwstr>
  </property>
</Properties>
</file>