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A2736">
      <w:pPr>
        <w:numPr>
          <w:ilvl w:val="0"/>
          <w:numId w:val="0"/>
        </w:numPr>
        <w:snapToGrid w:val="0"/>
        <w:spacing w:line="360" w:lineRule="auto"/>
        <w:rPr>
          <w:rFonts w:hint="eastAsia" w:ascii="微软雅黑" w:hAnsi="微软雅黑" w:eastAsia="微软雅黑" w:cs="微软雅黑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附件2：报价单（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投标文件与报价单需分开密封装袋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）</w:t>
      </w:r>
      <w:bookmarkStart w:id="0" w:name="_GoBack"/>
      <w:bookmarkEnd w:id="0"/>
    </w:p>
    <w:tbl>
      <w:tblPr>
        <w:tblStyle w:val="2"/>
        <w:tblW w:w="138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3620"/>
        <w:gridCol w:w="2037"/>
        <w:gridCol w:w="2044"/>
        <w:gridCol w:w="2462"/>
        <w:gridCol w:w="2712"/>
      </w:tblGrid>
      <w:tr w14:paraId="5E0B1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3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7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按比例收费计费表（与申报成功资金挂钩）</w:t>
            </w:r>
          </w:p>
        </w:tc>
      </w:tr>
      <w:tr w14:paraId="5C983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75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收费下限（元）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D444E">
            <w:pPr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7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比例收费合计低于下限时，按下限金额计取（保底）</w:t>
            </w:r>
          </w:p>
        </w:tc>
      </w:tr>
      <w:tr w14:paraId="29093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7B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收费上限（元）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E8A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4,800,000.00</w:t>
            </w:r>
          </w:p>
        </w:tc>
        <w:tc>
          <w:tcPr>
            <w:tcW w:w="72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02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比例收费合计高于上限时，按上限金额计取（封顶）</w:t>
            </w:r>
          </w:p>
        </w:tc>
      </w:tr>
      <w:tr w14:paraId="19F06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46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预估申报成功资金总额（元）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513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仅用于投标报价预估；实际按下方各类别分别填报</w:t>
            </w:r>
          </w:p>
        </w:tc>
      </w:tr>
      <w:tr w14:paraId="46EA2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A0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39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政策资金类别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5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约定费率（%）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1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预估申报资金额（元）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B2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预估收费金额（元）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B3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57BD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8D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CD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超长期特别国债项目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62780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7CFEF">
            <w:pPr>
              <w:jc w:val="right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D223A">
            <w:pPr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7DAAB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166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494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3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15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深圳市重大工业投资项目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B5A2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F9ED1">
            <w:pPr>
              <w:jc w:val="right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B68A1">
            <w:pPr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4777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C95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B5B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3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3FA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60160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6EC4">
            <w:pPr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52396">
            <w:pPr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6B64E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9EC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E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按比例收费合计（元）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7AE05">
            <w:pPr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9CF3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63EE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CC498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0DC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4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D6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实际收取金额（封顶保底后，元）</w:t>
            </w:r>
          </w:p>
        </w:tc>
        <w:tc>
          <w:tcPr>
            <w:tcW w:w="92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3091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7D8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</w:trPr>
        <w:tc>
          <w:tcPr>
            <w:tcW w:w="138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5D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说明：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费率与预估申报资金额由投标人按服务方案与市场惯例填写，收费金额=资金额×费率÷100，自动计算。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 上、下限为对比例收费总额的封顶保底约定，留空视为不封顶/不保底；实际收取金额以资金下达为准。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 备用行填写类别后序号自动生成；本表实际收取金额自动引用至「报价总表」按比例收费栏。</w:t>
            </w:r>
          </w:p>
        </w:tc>
      </w:tr>
    </w:tbl>
    <w:p w14:paraId="0FC8149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E3043A"/>
    <w:rsid w:val="5D187F21"/>
    <w:rsid w:val="62E3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392</Characters>
  <Lines>0</Lines>
  <Paragraphs>0</Paragraphs>
  <TotalTime>2</TotalTime>
  <ScaleCrop>false</ScaleCrop>
  <LinksUpToDate>false</LinksUpToDate>
  <CharactersWithSpaces>395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2026-10-24T13:09:00Z</dcterms:created>
  <dc:creator>昂</dc:creator>
  <cp:lastModifiedBy>昂</cp:lastModifiedBy>
  <dcterms:modified xsi:type="dcterms:W3CDTF">2026-10-24T13:44:26Z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4B1AAFEFF2C148A4925389E295A88E1F_11</vt:lpwstr>
  </property>
  <property fmtid="{D5CDD505-2E9C-101B-9397-08002B2CF9AE}" pid="4" name="KSOTemplateDocerSaveRecord">
    <vt:lpwstr>eyJoZGlkIjoiMzEwNTM5NzYwMDRjMzkwZTVkZjY2ODkwMGIxNGU0OTUiLCJ1c2VySWQiOiIyMzQ3NDk1MzMifQ==</vt:lpwstr>
  </property>
</Properties>
</file>